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2C9" w:rsidRDefault="000532C9" w:rsidP="000532C9">
      <w:pPr>
        <w:spacing w:after="0"/>
        <w:rPr>
          <w:rFonts w:ascii="Arial" w:hAnsi="Arial" w:cs="Arial"/>
          <w:b/>
          <w:sz w:val="12"/>
          <w:szCs w:val="12"/>
        </w:rPr>
      </w:pPr>
      <w:bookmarkStart w:id="0" w:name="_GoBack"/>
      <w:bookmarkEnd w:id="0"/>
    </w:p>
    <w:p w:rsidR="000532C9" w:rsidRDefault="000532C9" w:rsidP="000532C9">
      <w:pPr>
        <w:spacing w:after="0"/>
        <w:rPr>
          <w:rFonts w:ascii="Arial" w:hAnsi="Arial" w:cs="Arial"/>
          <w:b/>
          <w:sz w:val="12"/>
          <w:szCs w:val="12"/>
        </w:rPr>
      </w:pPr>
    </w:p>
    <w:p w:rsidR="000532C9" w:rsidRDefault="000532C9" w:rsidP="000532C9">
      <w:pPr>
        <w:spacing w:after="0"/>
        <w:rPr>
          <w:rFonts w:ascii="Arial" w:hAnsi="Arial" w:cs="Arial"/>
          <w:b/>
          <w:sz w:val="12"/>
          <w:szCs w:val="12"/>
        </w:rPr>
      </w:pPr>
      <w:r w:rsidRPr="006674A9">
        <w:rPr>
          <w:rFonts w:ascii="Arial" w:hAnsi="Arial" w:cs="Arial"/>
          <w:b/>
          <w:noProof/>
          <w:sz w:val="12"/>
          <w:szCs w:val="12"/>
          <w:lang w:val="en-AU" w:eastAsia="en-AU"/>
        </w:rPr>
        <w:drawing>
          <wp:anchor distT="0" distB="0" distL="114300" distR="114300" simplePos="0" relativeHeight="251659264" behindDoc="0" locked="0" layoutInCell="1" allowOverlap="0">
            <wp:simplePos x="0" y="0"/>
            <wp:positionH relativeFrom="column">
              <wp:posOffset>-66675</wp:posOffset>
            </wp:positionH>
            <wp:positionV relativeFrom="line">
              <wp:posOffset>-697230</wp:posOffset>
            </wp:positionV>
            <wp:extent cx="1066800" cy="965835"/>
            <wp:effectExtent l="0" t="0" r="0" b="1905"/>
            <wp:wrapSquare wrapText="bothSides"/>
            <wp:docPr id="11" name="Imagen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untitled"/>
                    <pic:cNvPicPr>
                      <a:picLocks noChangeAspect="1" noChangeArrowheads="1"/>
                    </pic:cNvPicPr>
                  </pic:nvPicPr>
                  <pic:blipFill>
                    <a:blip r:embed="rId11" cstate="print"/>
                    <a:srcRect/>
                    <a:stretch>
                      <a:fillRect/>
                    </a:stretch>
                  </pic:blipFill>
                  <pic:spPr bwMode="auto">
                    <a:xfrm>
                      <a:off x="0" y="0"/>
                      <a:ext cx="1066800" cy="969645"/>
                    </a:xfrm>
                    <a:prstGeom prst="rect">
                      <a:avLst/>
                    </a:prstGeom>
                    <a:noFill/>
                  </pic:spPr>
                </pic:pic>
              </a:graphicData>
            </a:graphic>
          </wp:anchor>
        </w:drawing>
      </w:r>
    </w:p>
    <w:p w:rsidR="000532C9" w:rsidRDefault="000532C9" w:rsidP="000532C9">
      <w:pPr>
        <w:spacing w:after="0"/>
        <w:rPr>
          <w:rFonts w:ascii="Arial" w:hAnsi="Arial" w:cs="Arial"/>
          <w:b/>
          <w:sz w:val="12"/>
          <w:szCs w:val="12"/>
        </w:rPr>
      </w:pPr>
    </w:p>
    <w:p w:rsidR="000532C9" w:rsidRDefault="000532C9" w:rsidP="000532C9">
      <w:pPr>
        <w:spacing w:after="0"/>
        <w:rPr>
          <w:rFonts w:ascii="Arial" w:hAnsi="Arial" w:cs="Arial"/>
          <w:b/>
          <w:sz w:val="12"/>
          <w:szCs w:val="12"/>
        </w:rPr>
      </w:pPr>
    </w:p>
    <w:p w:rsidR="000532C9" w:rsidRPr="00F844DC" w:rsidRDefault="000532C9" w:rsidP="000532C9">
      <w:pPr>
        <w:spacing w:after="0"/>
        <w:rPr>
          <w:rFonts w:ascii="Arial" w:hAnsi="Arial" w:cs="Arial"/>
          <w:b/>
          <w:sz w:val="12"/>
          <w:szCs w:val="12"/>
        </w:rPr>
      </w:pPr>
      <w:r w:rsidRPr="00F844DC">
        <w:rPr>
          <w:rFonts w:ascii="Arial" w:hAnsi="Arial" w:cs="Arial"/>
          <w:b/>
          <w:sz w:val="12"/>
          <w:szCs w:val="12"/>
        </w:rPr>
        <w:t>SUBSECRETARIA DE SALUD PÚBLICA</w:t>
      </w:r>
    </w:p>
    <w:p w:rsidR="000532C9" w:rsidRDefault="000532C9" w:rsidP="000532C9">
      <w:pPr>
        <w:spacing w:after="0"/>
        <w:rPr>
          <w:rFonts w:ascii="Arial" w:hAnsi="Arial" w:cs="Arial"/>
          <w:b/>
          <w:sz w:val="12"/>
          <w:szCs w:val="12"/>
        </w:rPr>
      </w:pPr>
      <w:r w:rsidRPr="00407CE2">
        <w:rPr>
          <w:rFonts w:ascii="Arial" w:hAnsi="Arial" w:cs="Arial"/>
          <w:b/>
          <w:sz w:val="12"/>
          <w:szCs w:val="12"/>
        </w:rPr>
        <w:t>DIVISIÓN DE POLÍTICAS PÚBLICASSALUDABLES Y PROMOCION</w:t>
      </w:r>
    </w:p>
    <w:p w:rsidR="000532C9" w:rsidRDefault="000532C9" w:rsidP="000532C9">
      <w:pPr>
        <w:spacing w:after="0"/>
        <w:rPr>
          <w:rFonts w:ascii="Arial" w:hAnsi="Arial" w:cs="Arial"/>
          <w:b/>
          <w:sz w:val="12"/>
          <w:szCs w:val="12"/>
        </w:rPr>
      </w:pPr>
      <w:r>
        <w:rPr>
          <w:rFonts w:ascii="Arial" w:hAnsi="Arial" w:cs="Arial"/>
          <w:b/>
          <w:sz w:val="12"/>
          <w:szCs w:val="12"/>
        </w:rPr>
        <w:t>DEPARTAMENTO DE SALUD AMBIENTAL</w:t>
      </w:r>
    </w:p>
    <w:p w:rsidR="000532C9" w:rsidRDefault="000532C9" w:rsidP="00246E61">
      <w:pPr>
        <w:jc w:val="center"/>
        <w:rPr>
          <w:rFonts w:eastAsiaTheme="majorEastAsia" w:cstheme="majorBidi"/>
          <w:caps/>
          <w:color w:val="775F55" w:themeColor="text2"/>
          <w:sz w:val="56"/>
          <w:szCs w:val="56"/>
          <w:lang w:val="es-CL"/>
        </w:rPr>
      </w:pPr>
    </w:p>
    <w:p w:rsidR="00246E61" w:rsidRDefault="00246E61" w:rsidP="00246E61">
      <w:pPr>
        <w:jc w:val="center"/>
      </w:pPr>
      <w:r w:rsidRPr="00E551B0">
        <w:rPr>
          <w:rFonts w:eastAsiaTheme="majorEastAsia" w:cstheme="majorBidi"/>
          <w:caps/>
          <w:color w:val="775F55" w:themeColor="text2"/>
          <w:sz w:val="56"/>
          <w:szCs w:val="56"/>
          <w:lang w:val="es-CL"/>
        </w:rPr>
        <w:t xml:space="preserve">estrategia </w:t>
      </w:r>
      <w:r>
        <w:rPr>
          <w:rFonts w:eastAsiaTheme="majorEastAsia" w:cstheme="majorBidi"/>
          <w:caps/>
          <w:color w:val="775F55" w:themeColor="text2"/>
          <w:sz w:val="56"/>
          <w:szCs w:val="56"/>
          <w:lang w:val="es-CL"/>
        </w:rPr>
        <w:t>NACIONAL PARA LA</w:t>
      </w:r>
      <w:r w:rsidRPr="00E551B0">
        <w:rPr>
          <w:rFonts w:eastAsiaTheme="majorEastAsia" w:cstheme="majorBidi"/>
          <w:caps/>
          <w:color w:val="775F55" w:themeColor="text2"/>
          <w:sz w:val="56"/>
          <w:szCs w:val="56"/>
          <w:lang w:val="es-CL"/>
        </w:rPr>
        <w:t xml:space="preserve"> implementación del GHS en Chile</w:t>
      </w:r>
    </w:p>
    <w:p w:rsidR="000532C9" w:rsidRDefault="000532C9"/>
    <w:p w:rsidR="000532C9" w:rsidRDefault="000532C9">
      <w:pPr>
        <w:spacing w:after="200" w:line="276" w:lineRule="auto"/>
      </w:pPr>
      <w:r>
        <w:t xml:space="preserve">                          </w:t>
      </w:r>
      <w:r w:rsidRPr="000532C9">
        <w:rPr>
          <w:noProof/>
          <w:lang w:val="en-AU" w:eastAsia="en-AU"/>
        </w:rPr>
        <w:drawing>
          <wp:inline distT="0" distB="0" distL="0" distR="0">
            <wp:extent cx="3272790" cy="3240343"/>
            <wp:effectExtent l="19050" t="0" r="3810" b="0"/>
            <wp:docPr id="9" name="Imagen 5"/>
            <wp:cNvGraphicFramePr/>
            <a:graphic xmlns:a="http://schemas.openxmlformats.org/drawingml/2006/main">
              <a:graphicData uri="http://schemas.openxmlformats.org/drawingml/2006/picture">
                <pic:pic xmlns:pic="http://schemas.openxmlformats.org/drawingml/2006/picture">
                  <pic:nvPicPr>
                    <pic:cNvPr id="0" name="j0313896.jp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15015" cy="3282150"/>
                    </a:xfrm>
                    <a:prstGeom prst="rect">
                      <a:avLst/>
                    </a:prstGeom>
                  </pic:spPr>
                </pic:pic>
              </a:graphicData>
            </a:graphic>
          </wp:inline>
        </w:drawing>
      </w:r>
    </w:p>
    <w:p w:rsidR="005912F0" w:rsidRDefault="005912F0">
      <w:pPr>
        <w:spacing w:after="200" w:line="276" w:lineRule="auto"/>
      </w:pPr>
    </w:p>
    <w:p w:rsidR="005912F0" w:rsidRDefault="005912F0">
      <w:pPr>
        <w:spacing w:after="200" w:line="276" w:lineRule="auto"/>
      </w:pPr>
    </w:p>
    <w:p w:rsidR="000532C9" w:rsidRDefault="000532C9" w:rsidP="000532C9">
      <w:pPr>
        <w:spacing w:after="200" w:line="276" w:lineRule="auto"/>
        <w:jc w:val="right"/>
      </w:pPr>
      <w:r>
        <w:lastRenderedPageBreak/>
        <w:t>Santiago, abril de 2015</w:t>
      </w:r>
    </w:p>
    <w:p w:rsidR="00BE6EEE" w:rsidRDefault="000A5494" w:rsidP="00606EAC">
      <w:pPr>
        <w:ind w:right="85"/>
        <w:rPr>
          <w:b/>
          <w:color w:val="0070C0"/>
          <w:sz w:val="32"/>
          <w:szCs w:val="32"/>
          <w:lang w:val="es-CL"/>
        </w:rPr>
      </w:pPr>
      <w:bookmarkStart w:id="1" w:name="_Toc388275150"/>
      <w:bookmarkStart w:id="2" w:name="_Toc388517047"/>
      <w:bookmarkStart w:id="3" w:name="_Toc388552051"/>
      <w:r>
        <w:rPr>
          <w:b/>
          <w:color w:val="0070C0"/>
          <w:sz w:val="32"/>
          <w:szCs w:val="32"/>
          <w:lang w:val="es-CL"/>
        </w:rPr>
        <w:t>R</w:t>
      </w:r>
      <w:r w:rsidR="00BE6EEE" w:rsidRPr="00FA4DFA">
        <w:rPr>
          <w:b/>
          <w:color w:val="0070C0"/>
          <w:sz w:val="32"/>
          <w:szCs w:val="32"/>
          <w:lang w:val="es-CL"/>
        </w:rPr>
        <w:t>esumen Ejecutivo</w:t>
      </w:r>
      <w:bookmarkEnd w:id="1"/>
      <w:bookmarkEnd w:id="2"/>
      <w:bookmarkEnd w:id="3"/>
    </w:p>
    <w:p w:rsidR="00597653" w:rsidRPr="007376CE" w:rsidRDefault="00597653" w:rsidP="00597653">
      <w:pPr>
        <w:jc w:val="both"/>
        <w:rPr>
          <w:sz w:val="22"/>
          <w:szCs w:val="22"/>
        </w:rPr>
      </w:pPr>
      <w:r w:rsidRPr="007376CE">
        <w:rPr>
          <w:color w:val="000000" w:themeColor="text1"/>
          <w:sz w:val="22"/>
          <w:szCs w:val="22"/>
        </w:rPr>
        <w:t xml:space="preserve">La implementación del GHS en Chile se encuentra dentro </w:t>
      </w:r>
      <w:r w:rsidRPr="007376CE">
        <w:rPr>
          <w:sz w:val="22"/>
          <w:szCs w:val="22"/>
        </w:rPr>
        <w:t xml:space="preserve">del plan de acción establecido en la Política Nacional de Seguridad Química del año 2008 y su implementación es parte de las acciones </w:t>
      </w:r>
      <w:r w:rsidR="009614CF">
        <w:rPr>
          <w:sz w:val="22"/>
          <w:szCs w:val="22"/>
        </w:rPr>
        <w:t>comprometidas en la actualización de la</w:t>
      </w:r>
      <w:r w:rsidRPr="007376CE">
        <w:rPr>
          <w:sz w:val="22"/>
          <w:szCs w:val="22"/>
        </w:rPr>
        <w:t xml:space="preserve"> mencionada política. En el año 2010, el país postuló a un fondo de inicio rápido del SAICM para elaborar la estrategia de implementación, siendo designado el Ministerio de Salud como responsable de ésta. Durante los últimos 2 años, se han desarrollado diversas actividades en términos de Coordinación y comunicación nacional, Evaluación de capacidades y Actividades de las partes interesadas. </w:t>
      </w:r>
    </w:p>
    <w:p w:rsidR="007A53F6" w:rsidRDefault="007A53F6" w:rsidP="00606EAC">
      <w:pPr>
        <w:jc w:val="both"/>
        <w:rPr>
          <w:sz w:val="22"/>
          <w:szCs w:val="22"/>
        </w:rPr>
      </w:pPr>
      <w:bookmarkStart w:id="4" w:name="_Toc388517048"/>
      <w:bookmarkStart w:id="5" w:name="_Toc388552052"/>
      <w:r w:rsidRPr="00597653">
        <w:rPr>
          <w:sz w:val="22"/>
          <w:szCs w:val="22"/>
        </w:rPr>
        <w:t xml:space="preserve">El presente informe tiene por finalidad presentar los resultados </w:t>
      </w:r>
      <w:r w:rsidR="009614CF">
        <w:rPr>
          <w:sz w:val="22"/>
          <w:szCs w:val="22"/>
        </w:rPr>
        <w:t xml:space="preserve">finales </w:t>
      </w:r>
      <w:r w:rsidRPr="00597653">
        <w:rPr>
          <w:sz w:val="22"/>
          <w:szCs w:val="22"/>
        </w:rPr>
        <w:t xml:space="preserve">de las actividades realizadas en las distintas etapas del proyecto </w:t>
      </w:r>
      <w:r w:rsidRPr="002E7547">
        <w:rPr>
          <w:i/>
          <w:sz w:val="22"/>
          <w:szCs w:val="22"/>
        </w:rPr>
        <w:t>“Elaboración de una Estrategia Nacional para la Implementación del GHS en Chile”</w:t>
      </w:r>
      <w:r w:rsidR="002E69A4" w:rsidRPr="002E7547">
        <w:rPr>
          <w:i/>
          <w:sz w:val="22"/>
          <w:szCs w:val="22"/>
        </w:rPr>
        <w:t xml:space="preserve"> </w:t>
      </w:r>
      <w:r w:rsidR="002E7547">
        <w:rPr>
          <w:sz w:val="22"/>
          <w:szCs w:val="22"/>
        </w:rPr>
        <w:t>que tiene por objetivo final el</w:t>
      </w:r>
      <w:r w:rsidR="002E69A4" w:rsidRPr="00597653">
        <w:rPr>
          <w:sz w:val="22"/>
          <w:szCs w:val="22"/>
        </w:rPr>
        <w:t xml:space="preserve"> formular una estrategia de acuerdo a la</w:t>
      </w:r>
      <w:r w:rsidR="00080BAE" w:rsidRPr="00597653">
        <w:rPr>
          <w:sz w:val="22"/>
          <w:szCs w:val="22"/>
        </w:rPr>
        <w:t>s</w:t>
      </w:r>
      <w:r w:rsidR="002E69A4" w:rsidRPr="00597653">
        <w:rPr>
          <w:sz w:val="22"/>
          <w:szCs w:val="22"/>
        </w:rPr>
        <w:t xml:space="preserve"> necesidades reales del país.</w:t>
      </w:r>
    </w:p>
    <w:p w:rsidR="00597653" w:rsidRPr="00597653" w:rsidRDefault="00597653" w:rsidP="00606EAC">
      <w:pPr>
        <w:jc w:val="both"/>
        <w:rPr>
          <w:sz w:val="22"/>
          <w:szCs w:val="22"/>
        </w:rPr>
      </w:pPr>
      <w:r>
        <w:rPr>
          <w:sz w:val="22"/>
          <w:szCs w:val="22"/>
        </w:rPr>
        <w:t>En primer lugar, se analizó la documentación guía proporcionada por UNITAR para conocer las actividades sugeridas para la elaboración de la estrategia además de revisar el estado actual de la implementación del GHS en el pa</w:t>
      </w:r>
      <w:r w:rsidR="007376CE">
        <w:rPr>
          <w:sz w:val="22"/>
          <w:szCs w:val="22"/>
        </w:rPr>
        <w:t xml:space="preserve">ís para realizar el diagnóstico técnico de la situación actual el cual </w:t>
      </w:r>
      <w:r>
        <w:rPr>
          <w:sz w:val="22"/>
          <w:szCs w:val="22"/>
        </w:rPr>
        <w:t xml:space="preserve">estableció </w:t>
      </w:r>
      <w:r w:rsidRPr="00A53458">
        <w:rPr>
          <w:sz w:val="22"/>
          <w:szCs w:val="22"/>
        </w:rPr>
        <w:t xml:space="preserve">las brechas existentes, entre las </w:t>
      </w:r>
      <w:r w:rsidR="007376CE">
        <w:rPr>
          <w:sz w:val="22"/>
          <w:szCs w:val="22"/>
        </w:rPr>
        <w:t>que</w:t>
      </w:r>
      <w:r w:rsidRPr="00A53458">
        <w:rPr>
          <w:sz w:val="22"/>
          <w:szCs w:val="22"/>
        </w:rPr>
        <w:t xml:space="preserve"> destacan: i)</w:t>
      </w:r>
      <w:r w:rsidR="00A53458" w:rsidRPr="00A53458">
        <w:rPr>
          <w:sz w:val="22"/>
          <w:szCs w:val="22"/>
        </w:rPr>
        <w:t xml:space="preserve"> Desactualización de información sobre la gestión de sustancias químicas contenida en el Perfil Químico (año 2008), ii) Falta del Análisis de Situación y Vacíos, iii) Falta de actividades de sensibilización y capacitación sobre GHS en diversos sectores y iv) Falta de actividades y canales de difusión sobre el dentro del país.</w:t>
      </w:r>
      <w:r w:rsidR="00A53458">
        <w:rPr>
          <w:sz w:val="22"/>
          <w:szCs w:val="22"/>
        </w:rPr>
        <w:t xml:space="preserve"> </w:t>
      </w:r>
    </w:p>
    <w:p w:rsidR="00846938" w:rsidRPr="001648D1" w:rsidRDefault="00846938" w:rsidP="00606EAC">
      <w:pPr>
        <w:jc w:val="both"/>
        <w:rPr>
          <w:sz w:val="22"/>
          <w:szCs w:val="22"/>
        </w:rPr>
      </w:pPr>
      <w:r w:rsidRPr="001648D1">
        <w:rPr>
          <w:sz w:val="22"/>
          <w:szCs w:val="22"/>
        </w:rPr>
        <w:t>Para elaborar el Análisis de Situación y Vacíos</w:t>
      </w:r>
      <w:r w:rsidR="0056720C">
        <w:rPr>
          <w:sz w:val="22"/>
          <w:szCs w:val="22"/>
        </w:rPr>
        <w:t>,</w:t>
      </w:r>
      <w:r w:rsidRPr="001648D1">
        <w:rPr>
          <w:sz w:val="22"/>
          <w:szCs w:val="22"/>
        </w:rPr>
        <w:t xml:space="preserve"> se</w:t>
      </w:r>
      <w:r w:rsidR="00BE2E04" w:rsidRPr="001648D1">
        <w:rPr>
          <w:sz w:val="22"/>
          <w:szCs w:val="22"/>
        </w:rPr>
        <w:t xml:space="preserve"> actualizó</w:t>
      </w:r>
      <w:r w:rsidR="00BA549F" w:rsidRPr="001648D1">
        <w:rPr>
          <w:sz w:val="22"/>
          <w:szCs w:val="22"/>
        </w:rPr>
        <w:t xml:space="preserve"> parte de</w:t>
      </w:r>
      <w:r w:rsidR="00BE2E04" w:rsidRPr="001648D1">
        <w:rPr>
          <w:sz w:val="22"/>
          <w:szCs w:val="22"/>
        </w:rPr>
        <w:t xml:space="preserve"> la información </w:t>
      </w:r>
      <w:r w:rsidRPr="001648D1">
        <w:rPr>
          <w:sz w:val="22"/>
          <w:szCs w:val="22"/>
        </w:rPr>
        <w:t xml:space="preserve">relacionada al manejo de sustancias químicas contenida en el Perfil Químico. Los resultados de este </w:t>
      </w:r>
      <w:r w:rsidR="00311F86">
        <w:rPr>
          <w:sz w:val="22"/>
          <w:szCs w:val="22"/>
        </w:rPr>
        <w:t>análisis</w:t>
      </w:r>
      <w:r w:rsidR="002E69A4" w:rsidRPr="001648D1">
        <w:rPr>
          <w:sz w:val="22"/>
          <w:szCs w:val="22"/>
        </w:rPr>
        <w:t>, que documentó la infraestructura del país y capacidades para la clasificación y comunicación de peligros químicos con respecto al GHS,</w:t>
      </w:r>
      <w:r w:rsidRPr="001648D1">
        <w:rPr>
          <w:sz w:val="22"/>
          <w:szCs w:val="22"/>
        </w:rPr>
        <w:t xml:space="preserve"> se </w:t>
      </w:r>
      <w:r w:rsidR="00E078DB" w:rsidRPr="001648D1">
        <w:rPr>
          <w:sz w:val="22"/>
          <w:szCs w:val="22"/>
        </w:rPr>
        <w:t>resumen a</w:t>
      </w:r>
      <w:r w:rsidRPr="001648D1">
        <w:rPr>
          <w:sz w:val="22"/>
          <w:szCs w:val="22"/>
        </w:rPr>
        <w:t xml:space="preserve"> continuación: </w:t>
      </w:r>
    </w:p>
    <w:p w:rsidR="00846938" w:rsidRPr="001648D1" w:rsidRDefault="00846938" w:rsidP="00D4302C">
      <w:pPr>
        <w:pStyle w:val="ListParagraph"/>
        <w:numPr>
          <w:ilvl w:val="0"/>
          <w:numId w:val="24"/>
        </w:numPr>
        <w:jc w:val="both"/>
        <w:rPr>
          <w:sz w:val="22"/>
          <w:szCs w:val="22"/>
        </w:rPr>
      </w:pPr>
      <w:r w:rsidRPr="001648D1">
        <w:rPr>
          <w:sz w:val="22"/>
          <w:szCs w:val="22"/>
        </w:rPr>
        <w:t xml:space="preserve">Comité Coordinador con estructura incompleta al no estar representados todos los sectores. Nula participación de la Sociedad Civil </w:t>
      </w:r>
    </w:p>
    <w:p w:rsidR="002B348A" w:rsidRPr="001648D1" w:rsidRDefault="00846938" w:rsidP="00D4302C">
      <w:pPr>
        <w:pStyle w:val="ListParagraph"/>
        <w:numPr>
          <w:ilvl w:val="0"/>
          <w:numId w:val="24"/>
        </w:numPr>
        <w:jc w:val="both"/>
        <w:rPr>
          <w:sz w:val="22"/>
          <w:szCs w:val="22"/>
        </w:rPr>
      </w:pPr>
      <w:r w:rsidRPr="001648D1">
        <w:rPr>
          <w:sz w:val="22"/>
          <w:szCs w:val="22"/>
        </w:rPr>
        <w:t>Capacidades y recursos insuficientes a nivel gobierno para desarrollar plan de implementación.</w:t>
      </w:r>
      <w:r w:rsidR="002B348A" w:rsidRPr="001648D1">
        <w:rPr>
          <w:sz w:val="22"/>
          <w:szCs w:val="22"/>
        </w:rPr>
        <w:t xml:space="preserve"> Falta de mecanismo de asignación de recursos para las actividades </w:t>
      </w:r>
      <w:r w:rsidR="002B348A" w:rsidRPr="001648D1">
        <w:rPr>
          <w:sz w:val="22"/>
          <w:szCs w:val="22"/>
        </w:rPr>
        <w:lastRenderedPageBreak/>
        <w:t>de implementación y falta de capacidades técnicas en el gobierno para la fiscalización del nuevo sistema.</w:t>
      </w:r>
    </w:p>
    <w:p w:rsidR="00846938" w:rsidRPr="001648D1" w:rsidRDefault="00846938" w:rsidP="00D4302C">
      <w:pPr>
        <w:pStyle w:val="ListParagraph"/>
        <w:numPr>
          <w:ilvl w:val="0"/>
          <w:numId w:val="24"/>
        </w:numPr>
        <w:jc w:val="both"/>
        <w:rPr>
          <w:b/>
          <w:color w:val="00B050"/>
          <w:sz w:val="22"/>
          <w:szCs w:val="22"/>
        </w:rPr>
      </w:pPr>
      <w:r w:rsidRPr="001648D1">
        <w:rPr>
          <w:sz w:val="22"/>
          <w:szCs w:val="22"/>
        </w:rPr>
        <w:t xml:space="preserve">Falta de información sobre sustancias químicas a lo largo de su ciclo de vida, en la forma de inventarios, catastros o registros (con excepción </w:t>
      </w:r>
      <w:r w:rsidR="001648D1">
        <w:rPr>
          <w:sz w:val="22"/>
          <w:szCs w:val="22"/>
        </w:rPr>
        <w:t>de plaguicidas de uso agrícola,</w:t>
      </w:r>
      <w:r w:rsidRPr="001648D1">
        <w:rPr>
          <w:sz w:val="22"/>
          <w:szCs w:val="22"/>
        </w:rPr>
        <w:t xml:space="preserve"> doméstico y sanitario</w:t>
      </w:r>
      <w:r w:rsidR="001648D1">
        <w:rPr>
          <w:sz w:val="22"/>
          <w:szCs w:val="22"/>
        </w:rPr>
        <w:t xml:space="preserve"> y desinfectantes</w:t>
      </w:r>
      <w:r w:rsidRPr="001648D1">
        <w:rPr>
          <w:sz w:val="22"/>
          <w:szCs w:val="22"/>
        </w:rPr>
        <w:t>).</w:t>
      </w:r>
      <w:r w:rsidR="00D250FF" w:rsidRPr="001648D1">
        <w:rPr>
          <w:sz w:val="22"/>
          <w:szCs w:val="22"/>
        </w:rPr>
        <w:t xml:space="preserve"> </w:t>
      </w:r>
    </w:p>
    <w:p w:rsidR="00846938" w:rsidRPr="001648D1" w:rsidRDefault="00846938" w:rsidP="00D4302C">
      <w:pPr>
        <w:pStyle w:val="ListParagraph"/>
        <w:numPr>
          <w:ilvl w:val="0"/>
          <w:numId w:val="24"/>
        </w:numPr>
        <w:jc w:val="both"/>
        <w:rPr>
          <w:sz w:val="22"/>
          <w:szCs w:val="22"/>
        </w:rPr>
      </w:pPr>
      <w:r w:rsidRPr="001648D1">
        <w:rPr>
          <w:sz w:val="22"/>
          <w:szCs w:val="22"/>
        </w:rPr>
        <w:t xml:space="preserve">Bajo </w:t>
      </w:r>
      <w:r w:rsidRPr="004918F3">
        <w:rPr>
          <w:sz w:val="22"/>
          <w:szCs w:val="22"/>
        </w:rPr>
        <w:t xml:space="preserve">nivel de </w:t>
      </w:r>
      <w:r w:rsidR="002B348A" w:rsidRPr="004918F3">
        <w:rPr>
          <w:sz w:val="22"/>
          <w:szCs w:val="22"/>
        </w:rPr>
        <w:t>capacitación y sensibilización</w:t>
      </w:r>
      <w:r w:rsidRPr="004918F3">
        <w:rPr>
          <w:sz w:val="22"/>
          <w:szCs w:val="22"/>
        </w:rPr>
        <w:t xml:space="preserve"> sobre el GHS </w:t>
      </w:r>
      <w:r w:rsidR="004918F3">
        <w:rPr>
          <w:sz w:val="22"/>
          <w:szCs w:val="22"/>
        </w:rPr>
        <w:t>en el sector Sociedad Civil y medio nivel en Industria y Gobierno.</w:t>
      </w:r>
    </w:p>
    <w:p w:rsidR="00846938" w:rsidRPr="001648D1" w:rsidRDefault="00846938" w:rsidP="00D4302C">
      <w:pPr>
        <w:pStyle w:val="ListParagraph"/>
        <w:numPr>
          <w:ilvl w:val="0"/>
          <w:numId w:val="24"/>
        </w:numPr>
        <w:jc w:val="both"/>
        <w:rPr>
          <w:sz w:val="22"/>
          <w:szCs w:val="22"/>
        </w:rPr>
      </w:pPr>
      <w:r w:rsidRPr="001648D1">
        <w:rPr>
          <w:sz w:val="22"/>
          <w:szCs w:val="22"/>
        </w:rPr>
        <w:t>Baja capacidad en infraestructura técnica nivel nacional en todos los sectores para la clasificación de sustancias que no estén clasificadas</w:t>
      </w:r>
      <w:r w:rsidR="00080BAE" w:rsidRPr="001648D1">
        <w:rPr>
          <w:sz w:val="22"/>
          <w:szCs w:val="22"/>
        </w:rPr>
        <w:t xml:space="preserve"> previamente</w:t>
      </w:r>
      <w:r w:rsidRPr="001648D1">
        <w:rPr>
          <w:sz w:val="22"/>
          <w:szCs w:val="22"/>
        </w:rPr>
        <w:t xml:space="preserve"> (especialmente, peligros a la salud y al medioambiente) de acuerdo al GHS.</w:t>
      </w:r>
    </w:p>
    <w:p w:rsidR="00F0428E" w:rsidRPr="00A160DE" w:rsidRDefault="00BE2E04" w:rsidP="00606EAC">
      <w:pPr>
        <w:jc w:val="both"/>
        <w:rPr>
          <w:sz w:val="22"/>
          <w:szCs w:val="22"/>
          <w:lang w:val="es-CL"/>
        </w:rPr>
      </w:pPr>
      <w:r w:rsidRPr="00A160DE">
        <w:rPr>
          <w:sz w:val="22"/>
          <w:szCs w:val="22"/>
        </w:rPr>
        <w:t xml:space="preserve">En base a </w:t>
      </w:r>
      <w:r w:rsidR="00D9133B" w:rsidRPr="00A160DE">
        <w:rPr>
          <w:sz w:val="22"/>
          <w:szCs w:val="22"/>
        </w:rPr>
        <w:t>estos resultados</w:t>
      </w:r>
      <w:r w:rsidRPr="00A160DE">
        <w:rPr>
          <w:sz w:val="22"/>
          <w:szCs w:val="22"/>
        </w:rPr>
        <w:t xml:space="preserve">, se </w:t>
      </w:r>
      <w:r w:rsidR="00D9133B" w:rsidRPr="00A160DE">
        <w:rPr>
          <w:sz w:val="22"/>
          <w:szCs w:val="22"/>
        </w:rPr>
        <w:t xml:space="preserve">delinearon estrategias específicas para solventar estas deficiencias </w:t>
      </w:r>
      <w:r w:rsidR="00F0428E" w:rsidRPr="00A160DE">
        <w:rPr>
          <w:sz w:val="22"/>
          <w:szCs w:val="22"/>
          <w:lang w:val="es-CL"/>
        </w:rPr>
        <w:t>teniendo como objetivo general de la estrategia, el proporcionar el marco para la implementación del GHS en Chile de modo de contar con un sistema de clasificación y comunicación de peligros químicos de acuerdo a estándares internacionales fomentando el desarrollo sostenible del país</w:t>
      </w:r>
      <w:r w:rsidR="007A53F6" w:rsidRPr="00A160DE">
        <w:rPr>
          <w:sz w:val="22"/>
          <w:szCs w:val="22"/>
          <w:lang w:val="es-CL"/>
        </w:rPr>
        <w:t>. Estas estrategias se enumeran a continuación:</w:t>
      </w:r>
    </w:p>
    <w:p w:rsidR="007A53F6" w:rsidRPr="00A160DE" w:rsidRDefault="007A53F6" w:rsidP="00D4302C">
      <w:pPr>
        <w:pStyle w:val="ListParagraph"/>
        <w:numPr>
          <w:ilvl w:val="0"/>
          <w:numId w:val="25"/>
        </w:numPr>
        <w:jc w:val="both"/>
        <w:rPr>
          <w:sz w:val="22"/>
          <w:szCs w:val="22"/>
          <w:lang w:val="es-CL"/>
        </w:rPr>
      </w:pPr>
      <w:r w:rsidRPr="00A160DE">
        <w:rPr>
          <w:sz w:val="22"/>
          <w:szCs w:val="22"/>
          <w:lang w:val="es-CL"/>
        </w:rPr>
        <w:t xml:space="preserve">Revisión </w:t>
      </w:r>
      <w:r w:rsidR="00311F86">
        <w:rPr>
          <w:sz w:val="22"/>
          <w:szCs w:val="22"/>
        </w:rPr>
        <w:t xml:space="preserve">y mejoramiento </w:t>
      </w:r>
      <w:r w:rsidRPr="00A160DE">
        <w:rPr>
          <w:sz w:val="22"/>
          <w:szCs w:val="22"/>
          <w:lang w:val="es-CL"/>
        </w:rPr>
        <w:t>de la estructura organizacional del Comité Coordinador.</w:t>
      </w:r>
    </w:p>
    <w:p w:rsidR="007A53F6" w:rsidRPr="00A160DE" w:rsidRDefault="007A53F6" w:rsidP="00D4302C">
      <w:pPr>
        <w:pStyle w:val="ListParagraph"/>
        <w:numPr>
          <w:ilvl w:val="0"/>
          <w:numId w:val="25"/>
        </w:numPr>
        <w:jc w:val="both"/>
        <w:rPr>
          <w:sz w:val="22"/>
          <w:szCs w:val="22"/>
          <w:lang w:val="es-CL"/>
        </w:rPr>
      </w:pPr>
      <w:r w:rsidRPr="00A160DE">
        <w:rPr>
          <w:sz w:val="22"/>
          <w:szCs w:val="22"/>
          <w:lang w:val="es-CL"/>
        </w:rPr>
        <w:t>Levantamiento de información</w:t>
      </w:r>
      <w:r w:rsidR="00311F86">
        <w:rPr>
          <w:sz w:val="22"/>
          <w:szCs w:val="22"/>
        </w:rPr>
        <w:t xml:space="preserve"> sobre sustancias químicas,</w:t>
      </w:r>
      <w:r w:rsidRPr="00A160DE">
        <w:rPr>
          <w:sz w:val="22"/>
          <w:szCs w:val="22"/>
          <w:lang w:val="es-CL"/>
        </w:rPr>
        <w:t xml:space="preserve"> necesaria para la aplicación del GHS</w:t>
      </w:r>
      <w:r w:rsidR="00311F86">
        <w:rPr>
          <w:sz w:val="22"/>
          <w:szCs w:val="22"/>
        </w:rPr>
        <w:t>.</w:t>
      </w:r>
    </w:p>
    <w:p w:rsidR="007A53F6" w:rsidRPr="00A160DE" w:rsidRDefault="007A53F6" w:rsidP="00D4302C">
      <w:pPr>
        <w:pStyle w:val="ListParagraph"/>
        <w:numPr>
          <w:ilvl w:val="0"/>
          <w:numId w:val="25"/>
        </w:numPr>
        <w:jc w:val="both"/>
        <w:rPr>
          <w:sz w:val="22"/>
          <w:szCs w:val="22"/>
          <w:lang w:val="es-CL"/>
        </w:rPr>
      </w:pPr>
      <w:r w:rsidRPr="00A160DE">
        <w:rPr>
          <w:sz w:val="22"/>
          <w:szCs w:val="22"/>
          <w:lang w:val="es-CL"/>
        </w:rPr>
        <w:t xml:space="preserve">Desarrollar actividades de </w:t>
      </w:r>
      <w:r w:rsidR="00311F86">
        <w:rPr>
          <w:sz w:val="22"/>
          <w:szCs w:val="22"/>
        </w:rPr>
        <w:t xml:space="preserve">difusión, </w:t>
      </w:r>
      <w:r w:rsidRPr="00A160DE">
        <w:rPr>
          <w:sz w:val="22"/>
          <w:szCs w:val="22"/>
          <w:lang w:val="es-CL"/>
        </w:rPr>
        <w:t>sensibilización</w:t>
      </w:r>
      <w:r w:rsidR="00311F86">
        <w:rPr>
          <w:sz w:val="22"/>
          <w:szCs w:val="22"/>
        </w:rPr>
        <w:t xml:space="preserve"> y capacitación</w:t>
      </w:r>
      <w:r w:rsidRPr="00A160DE">
        <w:rPr>
          <w:sz w:val="22"/>
          <w:szCs w:val="22"/>
          <w:lang w:val="es-CL"/>
        </w:rPr>
        <w:t xml:space="preserve"> sobre el sistema GHS </w:t>
      </w:r>
      <w:r w:rsidR="00311F86">
        <w:rPr>
          <w:sz w:val="22"/>
          <w:szCs w:val="22"/>
        </w:rPr>
        <w:t>en sector público, privado, sociedad civil y trabajadores.</w:t>
      </w:r>
    </w:p>
    <w:p w:rsidR="007A53F6" w:rsidRPr="00A160DE" w:rsidRDefault="007A53F6" w:rsidP="00D4302C">
      <w:pPr>
        <w:pStyle w:val="ListParagraph"/>
        <w:numPr>
          <w:ilvl w:val="0"/>
          <w:numId w:val="25"/>
        </w:numPr>
        <w:jc w:val="both"/>
        <w:rPr>
          <w:sz w:val="22"/>
          <w:szCs w:val="22"/>
          <w:lang w:val="es-CL"/>
        </w:rPr>
      </w:pPr>
      <w:r w:rsidRPr="00A160DE">
        <w:rPr>
          <w:sz w:val="22"/>
          <w:szCs w:val="22"/>
          <w:lang w:val="es-CL"/>
        </w:rPr>
        <w:t>Desarrollar y mejorar capacidades en la clasificación de productos químicos, generación de HDS y etiquetas según GHS</w:t>
      </w:r>
    </w:p>
    <w:p w:rsidR="007A53F6" w:rsidRDefault="007A53F6" w:rsidP="00D4302C">
      <w:pPr>
        <w:pStyle w:val="ListParagraph"/>
        <w:numPr>
          <w:ilvl w:val="0"/>
          <w:numId w:val="25"/>
        </w:numPr>
        <w:jc w:val="both"/>
        <w:rPr>
          <w:sz w:val="22"/>
          <w:szCs w:val="22"/>
          <w:lang w:val="es-CL"/>
        </w:rPr>
      </w:pPr>
      <w:r w:rsidRPr="00A160DE">
        <w:rPr>
          <w:sz w:val="22"/>
          <w:szCs w:val="22"/>
          <w:lang w:val="es-CL"/>
        </w:rPr>
        <w:t>Desarrollar mecanismos de financiación para la capacitación del personal y actividades relacionadas con la implementación (internos y/o externos).</w:t>
      </w:r>
    </w:p>
    <w:p w:rsidR="00311F86" w:rsidRPr="00311F86" w:rsidRDefault="00311F86" w:rsidP="00D4302C">
      <w:pPr>
        <w:pStyle w:val="ListParagraph"/>
        <w:numPr>
          <w:ilvl w:val="0"/>
          <w:numId w:val="25"/>
        </w:numPr>
        <w:jc w:val="both"/>
        <w:rPr>
          <w:sz w:val="22"/>
          <w:szCs w:val="22"/>
          <w:lang w:val="es-CL"/>
        </w:rPr>
      </w:pPr>
      <w:r>
        <w:rPr>
          <w:sz w:val="22"/>
          <w:szCs w:val="22"/>
        </w:rPr>
        <w:t>Elaborar el marco normativo para la implementación del GHS en el país.</w:t>
      </w:r>
    </w:p>
    <w:p w:rsidR="00311F86" w:rsidRPr="00A160DE" w:rsidRDefault="00311F86" w:rsidP="00D4302C">
      <w:pPr>
        <w:pStyle w:val="ListParagraph"/>
        <w:numPr>
          <w:ilvl w:val="0"/>
          <w:numId w:val="25"/>
        </w:numPr>
        <w:jc w:val="both"/>
        <w:rPr>
          <w:sz w:val="22"/>
          <w:szCs w:val="22"/>
          <w:lang w:val="es-CL"/>
        </w:rPr>
      </w:pPr>
      <w:r>
        <w:rPr>
          <w:sz w:val="22"/>
          <w:szCs w:val="22"/>
        </w:rPr>
        <w:t>Evaluación de la implementación del GHS en los sectores Agricultura, Transporte y Productos de Consumo.</w:t>
      </w:r>
    </w:p>
    <w:p w:rsidR="002E11C3" w:rsidRPr="002E11C3" w:rsidRDefault="00080BAE" w:rsidP="002E11C3">
      <w:pPr>
        <w:jc w:val="both"/>
        <w:rPr>
          <w:sz w:val="22"/>
          <w:szCs w:val="22"/>
        </w:rPr>
      </w:pPr>
      <w:r w:rsidRPr="00A160DE">
        <w:rPr>
          <w:sz w:val="22"/>
          <w:szCs w:val="22"/>
          <w:lang w:val="es-CL"/>
        </w:rPr>
        <w:t>En cada una de las estrategias</w:t>
      </w:r>
      <w:r w:rsidR="007A53F6" w:rsidRPr="00A160DE">
        <w:rPr>
          <w:sz w:val="22"/>
          <w:szCs w:val="22"/>
          <w:lang w:val="es-CL"/>
        </w:rPr>
        <w:t xml:space="preserve"> se detalló una serie de metas y actividades a realizar junto con los </w:t>
      </w:r>
      <w:r w:rsidR="007A53F6" w:rsidRPr="0056720C">
        <w:rPr>
          <w:sz w:val="22"/>
          <w:szCs w:val="22"/>
          <w:lang w:val="es-CL"/>
        </w:rPr>
        <w:t xml:space="preserve">responsables de ellas, existiendo tareas para llevar a cabo en </w:t>
      </w:r>
      <w:r w:rsidR="002E11C3">
        <w:rPr>
          <w:sz w:val="22"/>
          <w:szCs w:val="22"/>
          <w:lang w:val="es-CL"/>
        </w:rPr>
        <w:t>el corto, mediano y largo plazo</w:t>
      </w:r>
      <w:r w:rsidR="009976FC">
        <w:rPr>
          <w:sz w:val="22"/>
          <w:szCs w:val="22"/>
        </w:rPr>
        <w:t xml:space="preserve"> </w:t>
      </w:r>
      <w:r w:rsidR="002E11C3">
        <w:rPr>
          <w:sz w:val="22"/>
          <w:szCs w:val="22"/>
        </w:rPr>
        <w:t>y</w:t>
      </w:r>
      <w:r w:rsidR="009976FC">
        <w:rPr>
          <w:sz w:val="22"/>
          <w:szCs w:val="22"/>
        </w:rPr>
        <w:t>,</w:t>
      </w:r>
      <w:r w:rsidR="002E11C3">
        <w:rPr>
          <w:sz w:val="22"/>
          <w:szCs w:val="22"/>
        </w:rPr>
        <w:t xml:space="preserve"> así cumplir con los compromisos internacionales adquiridos con respecto al tema de gestión segura de sustancias químicas peligrosas.</w:t>
      </w:r>
    </w:p>
    <w:p w:rsidR="005912F0" w:rsidRDefault="005912F0" w:rsidP="00606EAC">
      <w:pPr>
        <w:ind w:right="85"/>
        <w:rPr>
          <w:b/>
          <w:color w:val="0070C0"/>
          <w:sz w:val="32"/>
          <w:szCs w:val="32"/>
          <w:lang w:val="es-CL"/>
        </w:rPr>
      </w:pPr>
    </w:p>
    <w:p w:rsidR="00BE6EEE" w:rsidRPr="003C5C3B" w:rsidRDefault="00BE6EEE" w:rsidP="00606EAC">
      <w:pPr>
        <w:ind w:right="85"/>
        <w:rPr>
          <w:b/>
          <w:color w:val="0070C0"/>
          <w:sz w:val="32"/>
          <w:szCs w:val="32"/>
          <w:lang w:val="es-CL"/>
        </w:rPr>
      </w:pPr>
      <w:r w:rsidRPr="003C5C3B">
        <w:rPr>
          <w:b/>
          <w:color w:val="0070C0"/>
          <w:sz w:val="32"/>
          <w:szCs w:val="32"/>
          <w:lang w:val="es-CL"/>
        </w:rPr>
        <w:lastRenderedPageBreak/>
        <w:t>ÍNDICE</w:t>
      </w:r>
      <w:bookmarkEnd w:id="4"/>
      <w:bookmarkEnd w:id="5"/>
    </w:p>
    <w:p w:rsidR="00424640" w:rsidRDefault="00740978">
      <w:pPr>
        <w:pStyle w:val="TOC1"/>
        <w:rPr>
          <w:rFonts w:eastAsiaTheme="minorEastAsia" w:cstheme="minorBidi"/>
          <w:b w:val="0"/>
          <w:bCs w:val="0"/>
          <w:caps w:val="0"/>
          <w:noProof/>
          <w:kern w:val="0"/>
          <w:sz w:val="22"/>
          <w:szCs w:val="22"/>
          <w:lang w:val="es-CL" w:eastAsia="es-CL"/>
        </w:rPr>
      </w:pPr>
      <w:r>
        <w:rPr>
          <w:highlight w:val="yellow"/>
          <w:lang w:val="es-CL"/>
        </w:rPr>
        <w:fldChar w:fldCharType="begin"/>
      </w:r>
      <w:r w:rsidR="00B84D27">
        <w:rPr>
          <w:highlight w:val="yellow"/>
          <w:lang w:val="es-CL"/>
        </w:rPr>
        <w:instrText xml:space="preserve"> TOC \o "1-4" \h \z \u </w:instrText>
      </w:r>
      <w:r>
        <w:rPr>
          <w:highlight w:val="yellow"/>
          <w:lang w:val="es-CL"/>
        </w:rPr>
        <w:fldChar w:fldCharType="separate"/>
      </w:r>
      <w:hyperlink w:anchor="_Toc418168849" w:history="1">
        <w:r w:rsidR="00424640" w:rsidRPr="00F60307">
          <w:rPr>
            <w:rStyle w:val="Hyperlink"/>
            <w:noProof/>
            <w:lang w:val="es-CL"/>
          </w:rPr>
          <w:t>1.</w:t>
        </w:r>
        <w:r w:rsidR="00424640">
          <w:rPr>
            <w:rFonts w:eastAsiaTheme="minorEastAsia" w:cstheme="minorBidi"/>
            <w:b w:val="0"/>
            <w:bCs w:val="0"/>
            <w:caps w:val="0"/>
            <w:noProof/>
            <w:kern w:val="0"/>
            <w:sz w:val="22"/>
            <w:szCs w:val="22"/>
            <w:lang w:val="es-CL" w:eastAsia="es-CL"/>
          </w:rPr>
          <w:tab/>
        </w:r>
        <w:r w:rsidR="00424640" w:rsidRPr="00F60307">
          <w:rPr>
            <w:rStyle w:val="Hyperlink"/>
            <w:noProof/>
            <w:lang w:val="es-CL"/>
          </w:rPr>
          <w:t>INTRODUCCIÓN</w:t>
        </w:r>
        <w:r w:rsidR="00424640">
          <w:rPr>
            <w:noProof/>
            <w:webHidden/>
          </w:rPr>
          <w:tab/>
        </w:r>
        <w:r w:rsidR="002341B0">
          <w:rPr>
            <w:noProof/>
            <w:webHidden/>
          </w:rPr>
          <w:t>6</w:t>
        </w:r>
      </w:hyperlink>
    </w:p>
    <w:p w:rsidR="00424640" w:rsidRDefault="00E26991">
      <w:pPr>
        <w:pStyle w:val="TOC1"/>
        <w:rPr>
          <w:rFonts w:eastAsiaTheme="minorEastAsia" w:cstheme="minorBidi"/>
          <w:b w:val="0"/>
          <w:bCs w:val="0"/>
          <w:caps w:val="0"/>
          <w:noProof/>
          <w:kern w:val="0"/>
          <w:sz w:val="22"/>
          <w:szCs w:val="22"/>
          <w:lang w:val="es-CL" w:eastAsia="es-CL"/>
        </w:rPr>
      </w:pPr>
      <w:hyperlink w:anchor="_Toc418168850" w:history="1">
        <w:r w:rsidR="00424640" w:rsidRPr="00F60307">
          <w:rPr>
            <w:rStyle w:val="Hyperlink"/>
            <w:noProof/>
            <w:lang w:val="es-CL"/>
          </w:rPr>
          <w:t>2.</w:t>
        </w:r>
        <w:r w:rsidR="00424640">
          <w:rPr>
            <w:rFonts w:eastAsiaTheme="minorEastAsia" w:cstheme="minorBidi"/>
            <w:b w:val="0"/>
            <w:bCs w:val="0"/>
            <w:caps w:val="0"/>
            <w:noProof/>
            <w:kern w:val="0"/>
            <w:sz w:val="22"/>
            <w:szCs w:val="22"/>
            <w:lang w:val="es-CL" w:eastAsia="es-CL"/>
          </w:rPr>
          <w:tab/>
        </w:r>
        <w:r w:rsidR="00424640" w:rsidRPr="00F60307">
          <w:rPr>
            <w:rStyle w:val="Hyperlink"/>
            <w:noProof/>
            <w:lang w:val="es-CL"/>
          </w:rPr>
          <w:t>OBJETIVOS</w:t>
        </w:r>
        <w:r w:rsidR="00424640">
          <w:rPr>
            <w:noProof/>
            <w:webHidden/>
          </w:rPr>
          <w:tab/>
        </w:r>
        <w:r w:rsidR="00740978">
          <w:rPr>
            <w:noProof/>
            <w:webHidden/>
          </w:rPr>
          <w:fldChar w:fldCharType="begin"/>
        </w:r>
        <w:r w:rsidR="00424640">
          <w:rPr>
            <w:noProof/>
            <w:webHidden/>
          </w:rPr>
          <w:instrText xml:space="preserve"> PAGEREF _Toc418168850 \h </w:instrText>
        </w:r>
        <w:r w:rsidR="00740978">
          <w:rPr>
            <w:noProof/>
            <w:webHidden/>
          </w:rPr>
        </w:r>
        <w:r w:rsidR="00740978">
          <w:rPr>
            <w:noProof/>
            <w:webHidden/>
          </w:rPr>
          <w:fldChar w:fldCharType="separate"/>
        </w:r>
        <w:r w:rsidR="00107B24">
          <w:rPr>
            <w:noProof/>
            <w:webHidden/>
          </w:rPr>
          <w:t>10</w:t>
        </w:r>
        <w:r w:rsidR="00740978">
          <w:rPr>
            <w:noProof/>
            <w:webHidden/>
          </w:rPr>
          <w:fldChar w:fldCharType="end"/>
        </w:r>
      </w:hyperlink>
    </w:p>
    <w:p w:rsidR="00424640" w:rsidRDefault="00E26991">
      <w:pPr>
        <w:pStyle w:val="TOC2"/>
        <w:tabs>
          <w:tab w:val="left" w:pos="920"/>
          <w:tab w:val="right" w:leader="dot" w:pos="9913"/>
        </w:tabs>
        <w:rPr>
          <w:rFonts w:eastAsiaTheme="minorEastAsia" w:cstheme="minorBidi"/>
          <w:smallCaps w:val="0"/>
          <w:noProof/>
          <w:kern w:val="0"/>
          <w:sz w:val="22"/>
          <w:szCs w:val="22"/>
          <w:lang w:val="es-CL" w:eastAsia="es-CL"/>
        </w:rPr>
      </w:pPr>
      <w:hyperlink w:anchor="_Toc418168851" w:history="1">
        <w:r w:rsidR="00424640" w:rsidRPr="00F60307">
          <w:rPr>
            <w:rStyle w:val="Hyperlink"/>
            <w:noProof/>
            <w:lang w:val="es-CL"/>
          </w:rPr>
          <w:t>2.1</w:t>
        </w:r>
        <w:r w:rsidR="00424640">
          <w:rPr>
            <w:rFonts w:eastAsiaTheme="minorEastAsia" w:cstheme="minorBidi"/>
            <w:smallCaps w:val="0"/>
            <w:noProof/>
            <w:kern w:val="0"/>
            <w:sz w:val="22"/>
            <w:szCs w:val="22"/>
            <w:lang w:val="es-CL" w:eastAsia="es-CL"/>
          </w:rPr>
          <w:tab/>
        </w:r>
        <w:r w:rsidR="00424640" w:rsidRPr="00F60307">
          <w:rPr>
            <w:rStyle w:val="Hyperlink"/>
            <w:noProof/>
            <w:lang w:val="es-CL"/>
          </w:rPr>
          <w:t>Objetivo General</w:t>
        </w:r>
        <w:r w:rsidR="00424640">
          <w:rPr>
            <w:noProof/>
            <w:webHidden/>
          </w:rPr>
          <w:tab/>
        </w:r>
        <w:r w:rsidR="00740978">
          <w:rPr>
            <w:noProof/>
            <w:webHidden/>
          </w:rPr>
          <w:fldChar w:fldCharType="begin"/>
        </w:r>
        <w:r w:rsidR="00424640">
          <w:rPr>
            <w:noProof/>
            <w:webHidden/>
          </w:rPr>
          <w:instrText xml:space="preserve"> PAGEREF _Toc418168851 \h </w:instrText>
        </w:r>
        <w:r w:rsidR="00740978">
          <w:rPr>
            <w:noProof/>
            <w:webHidden/>
          </w:rPr>
        </w:r>
        <w:r w:rsidR="00740978">
          <w:rPr>
            <w:noProof/>
            <w:webHidden/>
          </w:rPr>
          <w:fldChar w:fldCharType="separate"/>
        </w:r>
        <w:r w:rsidR="00107B24">
          <w:rPr>
            <w:noProof/>
            <w:webHidden/>
          </w:rPr>
          <w:t>10</w:t>
        </w:r>
        <w:r w:rsidR="00740978">
          <w:rPr>
            <w:noProof/>
            <w:webHidden/>
          </w:rPr>
          <w:fldChar w:fldCharType="end"/>
        </w:r>
      </w:hyperlink>
    </w:p>
    <w:p w:rsidR="00424640" w:rsidRDefault="00E26991">
      <w:pPr>
        <w:pStyle w:val="TOC2"/>
        <w:tabs>
          <w:tab w:val="left" w:pos="920"/>
          <w:tab w:val="right" w:leader="dot" w:pos="9913"/>
        </w:tabs>
        <w:rPr>
          <w:rFonts w:eastAsiaTheme="minorEastAsia" w:cstheme="minorBidi"/>
          <w:smallCaps w:val="0"/>
          <w:noProof/>
          <w:kern w:val="0"/>
          <w:sz w:val="22"/>
          <w:szCs w:val="22"/>
          <w:lang w:val="es-CL" w:eastAsia="es-CL"/>
        </w:rPr>
      </w:pPr>
      <w:hyperlink w:anchor="_Toc418168852" w:history="1">
        <w:r w:rsidR="00424640" w:rsidRPr="00F60307">
          <w:rPr>
            <w:rStyle w:val="Hyperlink"/>
            <w:noProof/>
            <w:lang w:val="es-CL"/>
          </w:rPr>
          <w:t>2.2</w:t>
        </w:r>
        <w:r w:rsidR="00424640">
          <w:rPr>
            <w:rFonts w:eastAsiaTheme="minorEastAsia" w:cstheme="minorBidi"/>
            <w:smallCaps w:val="0"/>
            <w:noProof/>
            <w:kern w:val="0"/>
            <w:sz w:val="22"/>
            <w:szCs w:val="22"/>
            <w:lang w:val="es-CL" w:eastAsia="es-CL"/>
          </w:rPr>
          <w:tab/>
        </w:r>
        <w:r w:rsidR="00424640" w:rsidRPr="00F60307">
          <w:rPr>
            <w:rStyle w:val="Hyperlink"/>
            <w:noProof/>
            <w:lang w:val="es-CL"/>
          </w:rPr>
          <w:t>Objetivos Específicos</w:t>
        </w:r>
        <w:r w:rsidR="00424640">
          <w:rPr>
            <w:noProof/>
            <w:webHidden/>
          </w:rPr>
          <w:tab/>
        </w:r>
        <w:r w:rsidR="00740978">
          <w:rPr>
            <w:noProof/>
            <w:webHidden/>
          </w:rPr>
          <w:fldChar w:fldCharType="begin"/>
        </w:r>
        <w:r w:rsidR="00424640">
          <w:rPr>
            <w:noProof/>
            <w:webHidden/>
          </w:rPr>
          <w:instrText xml:space="preserve"> PAGEREF _Toc418168852 \h </w:instrText>
        </w:r>
        <w:r w:rsidR="00740978">
          <w:rPr>
            <w:noProof/>
            <w:webHidden/>
          </w:rPr>
        </w:r>
        <w:r w:rsidR="00740978">
          <w:rPr>
            <w:noProof/>
            <w:webHidden/>
          </w:rPr>
          <w:fldChar w:fldCharType="separate"/>
        </w:r>
        <w:r w:rsidR="00107B24">
          <w:rPr>
            <w:noProof/>
            <w:webHidden/>
          </w:rPr>
          <w:t>10</w:t>
        </w:r>
        <w:r w:rsidR="00740978">
          <w:rPr>
            <w:noProof/>
            <w:webHidden/>
          </w:rPr>
          <w:fldChar w:fldCharType="end"/>
        </w:r>
      </w:hyperlink>
    </w:p>
    <w:p w:rsidR="00424640" w:rsidRDefault="00E26991">
      <w:pPr>
        <w:pStyle w:val="TOC1"/>
        <w:rPr>
          <w:rFonts w:eastAsiaTheme="minorEastAsia" w:cstheme="minorBidi"/>
          <w:b w:val="0"/>
          <w:bCs w:val="0"/>
          <w:caps w:val="0"/>
          <w:noProof/>
          <w:kern w:val="0"/>
          <w:sz w:val="22"/>
          <w:szCs w:val="22"/>
          <w:lang w:val="es-CL" w:eastAsia="es-CL"/>
        </w:rPr>
      </w:pPr>
      <w:hyperlink w:anchor="_Toc418168853" w:history="1">
        <w:r w:rsidR="00424640" w:rsidRPr="00F60307">
          <w:rPr>
            <w:rStyle w:val="Hyperlink"/>
            <w:noProof/>
            <w:lang w:val="es-CL"/>
          </w:rPr>
          <w:t>3.</w:t>
        </w:r>
        <w:r w:rsidR="00424640">
          <w:rPr>
            <w:rFonts w:eastAsiaTheme="minorEastAsia" w:cstheme="minorBidi"/>
            <w:b w:val="0"/>
            <w:bCs w:val="0"/>
            <w:caps w:val="0"/>
            <w:noProof/>
            <w:kern w:val="0"/>
            <w:sz w:val="22"/>
            <w:szCs w:val="22"/>
            <w:lang w:val="es-CL" w:eastAsia="es-CL"/>
          </w:rPr>
          <w:tab/>
        </w:r>
        <w:r w:rsidR="00424640" w:rsidRPr="00F60307">
          <w:rPr>
            <w:rStyle w:val="Hyperlink"/>
            <w:noProof/>
            <w:lang w:val="es-CL"/>
          </w:rPr>
          <w:t>A</w:t>
        </w:r>
        <w:r w:rsidR="00424640" w:rsidRPr="00F60307">
          <w:rPr>
            <w:rStyle w:val="Hyperlink"/>
            <w:noProof/>
          </w:rPr>
          <w:t>NTECDENTES SOBRE IMPLEMENTACIÓN DEL GHS</w:t>
        </w:r>
        <w:r w:rsidR="00424640">
          <w:rPr>
            <w:noProof/>
            <w:webHidden/>
          </w:rPr>
          <w:tab/>
        </w:r>
        <w:r w:rsidR="00740978">
          <w:rPr>
            <w:noProof/>
            <w:webHidden/>
          </w:rPr>
          <w:fldChar w:fldCharType="begin"/>
        </w:r>
        <w:r w:rsidR="00424640">
          <w:rPr>
            <w:noProof/>
            <w:webHidden/>
          </w:rPr>
          <w:instrText xml:space="preserve"> PAGEREF _Toc418168853 \h </w:instrText>
        </w:r>
        <w:r w:rsidR="00740978">
          <w:rPr>
            <w:noProof/>
            <w:webHidden/>
          </w:rPr>
        </w:r>
        <w:r w:rsidR="00740978">
          <w:rPr>
            <w:noProof/>
            <w:webHidden/>
          </w:rPr>
          <w:fldChar w:fldCharType="separate"/>
        </w:r>
        <w:r w:rsidR="00107B24">
          <w:rPr>
            <w:noProof/>
            <w:webHidden/>
          </w:rPr>
          <w:t>11</w:t>
        </w:r>
        <w:r w:rsidR="00740978">
          <w:rPr>
            <w:noProof/>
            <w:webHidden/>
          </w:rPr>
          <w:fldChar w:fldCharType="end"/>
        </w:r>
      </w:hyperlink>
    </w:p>
    <w:p w:rsidR="00424640" w:rsidRDefault="00E26991">
      <w:pPr>
        <w:pStyle w:val="TOC2"/>
        <w:tabs>
          <w:tab w:val="left" w:pos="920"/>
          <w:tab w:val="right" w:leader="dot" w:pos="9913"/>
        </w:tabs>
        <w:rPr>
          <w:rFonts w:eastAsiaTheme="minorEastAsia" w:cstheme="minorBidi"/>
          <w:smallCaps w:val="0"/>
          <w:noProof/>
          <w:kern w:val="0"/>
          <w:sz w:val="22"/>
          <w:szCs w:val="22"/>
          <w:lang w:val="es-CL" w:eastAsia="es-CL"/>
        </w:rPr>
      </w:pPr>
      <w:hyperlink w:anchor="_Toc418168854" w:history="1">
        <w:r w:rsidR="00424640" w:rsidRPr="00F60307">
          <w:rPr>
            <w:rStyle w:val="Hyperlink"/>
            <w:noProof/>
            <w:lang w:val="es-CL"/>
          </w:rPr>
          <w:t>3.1</w:t>
        </w:r>
        <w:r w:rsidR="00424640">
          <w:rPr>
            <w:rFonts w:eastAsiaTheme="minorEastAsia" w:cstheme="minorBidi"/>
            <w:smallCaps w:val="0"/>
            <w:noProof/>
            <w:kern w:val="0"/>
            <w:sz w:val="22"/>
            <w:szCs w:val="22"/>
            <w:lang w:val="es-CL" w:eastAsia="es-CL"/>
          </w:rPr>
          <w:tab/>
        </w:r>
        <w:r w:rsidR="00424640" w:rsidRPr="00F60307">
          <w:rPr>
            <w:rStyle w:val="Hyperlink"/>
            <w:noProof/>
            <w:lang w:val="es-CL"/>
          </w:rPr>
          <w:t>Documentación y recursos disponibles sobre GHS</w:t>
        </w:r>
        <w:r w:rsidR="00424640">
          <w:rPr>
            <w:noProof/>
            <w:webHidden/>
          </w:rPr>
          <w:tab/>
        </w:r>
        <w:r w:rsidR="00740978">
          <w:rPr>
            <w:noProof/>
            <w:webHidden/>
          </w:rPr>
          <w:fldChar w:fldCharType="begin"/>
        </w:r>
        <w:r w:rsidR="00424640">
          <w:rPr>
            <w:noProof/>
            <w:webHidden/>
          </w:rPr>
          <w:instrText xml:space="preserve"> PAGEREF _Toc418168854 \h </w:instrText>
        </w:r>
        <w:r w:rsidR="00740978">
          <w:rPr>
            <w:noProof/>
            <w:webHidden/>
          </w:rPr>
        </w:r>
        <w:r w:rsidR="00740978">
          <w:rPr>
            <w:noProof/>
            <w:webHidden/>
          </w:rPr>
          <w:fldChar w:fldCharType="separate"/>
        </w:r>
        <w:r w:rsidR="00107B24">
          <w:rPr>
            <w:noProof/>
            <w:webHidden/>
          </w:rPr>
          <w:t>11</w:t>
        </w:r>
        <w:r w:rsidR="00740978">
          <w:rPr>
            <w:noProof/>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855" w:history="1">
        <w:r w:rsidR="00424640" w:rsidRPr="00F60307">
          <w:rPr>
            <w:rStyle w:val="Hyperlink"/>
            <w:noProof/>
          </w:rPr>
          <w:t>3.1.1</w:t>
        </w:r>
        <w:r w:rsidR="00424640">
          <w:rPr>
            <w:rFonts w:eastAsiaTheme="minorEastAsia" w:cstheme="minorBidi"/>
            <w:i w:val="0"/>
            <w:iCs w:val="0"/>
            <w:noProof/>
            <w:kern w:val="0"/>
            <w:sz w:val="22"/>
            <w:szCs w:val="22"/>
            <w:lang w:val="es-CL" w:eastAsia="es-CL"/>
          </w:rPr>
          <w:tab/>
        </w:r>
        <w:r w:rsidR="00424640" w:rsidRPr="00F60307">
          <w:rPr>
            <w:rStyle w:val="Hyperlink"/>
            <w:noProof/>
          </w:rPr>
          <w:t>UNITAR</w:t>
        </w:r>
        <w:r w:rsidR="00424640">
          <w:rPr>
            <w:noProof/>
            <w:webHidden/>
          </w:rPr>
          <w:tab/>
        </w:r>
        <w:r w:rsidR="00740978">
          <w:rPr>
            <w:noProof/>
            <w:webHidden/>
          </w:rPr>
          <w:fldChar w:fldCharType="begin"/>
        </w:r>
        <w:r w:rsidR="00424640">
          <w:rPr>
            <w:noProof/>
            <w:webHidden/>
          </w:rPr>
          <w:instrText xml:space="preserve"> PAGEREF _Toc418168855 \h </w:instrText>
        </w:r>
        <w:r w:rsidR="00740978">
          <w:rPr>
            <w:noProof/>
            <w:webHidden/>
          </w:rPr>
        </w:r>
        <w:r w:rsidR="00740978">
          <w:rPr>
            <w:noProof/>
            <w:webHidden/>
          </w:rPr>
          <w:fldChar w:fldCharType="separate"/>
        </w:r>
        <w:r w:rsidR="00107B24">
          <w:rPr>
            <w:noProof/>
            <w:webHidden/>
          </w:rPr>
          <w:t>11</w:t>
        </w:r>
        <w:r w:rsidR="00740978">
          <w:rPr>
            <w:noProof/>
            <w:webHidden/>
          </w:rPr>
          <w:fldChar w:fldCharType="end"/>
        </w:r>
      </w:hyperlink>
    </w:p>
    <w:p w:rsidR="00424640" w:rsidRDefault="00E26991">
      <w:pPr>
        <w:pStyle w:val="TOC4"/>
        <w:rPr>
          <w:rFonts w:eastAsiaTheme="minorEastAsia" w:cstheme="minorBidi"/>
          <w:kern w:val="0"/>
          <w:sz w:val="22"/>
          <w:szCs w:val="22"/>
          <w:lang w:val="es-CL" w:eastAsia="es-CL"/>
        </w:rPr>
      </w:pPr>
      <w:hyperlink w:anchor="_Toc418168856" w:history="1">
        <w:r w:rsidR="00424640" w:rsidRPr="00F60307">
          <w:rPr>
            <w:rStyle w:val="Hyperlink"/>
            <w:b/>
            <w:i/>
          </w:rPr>
          <w:t>3.1.1.1</w:t>
        </w:r>
        <w:r w:rsidR="00424640">
          <w:rPr>
            <w:rFonts w:eastAsiaTheme="minorEastAsia" w:cstheme="minorBidi"/>
            <w:kern w:val="0"/>
            <w:sz w:val="22"/>
            <w:szCs w:val="22"/>
            <w:lang w:val="es-CL" w:eastAsia="es-CL"/>
          </w:rPr>
          <w:tab/>
        </w:r>
        <w:r w:rsidR="00424640" w:rsidRPr="00F60307">
          <w:rPr>
            <w:rStyle w:val="Hyperlink"/>
            <w:b/>
            <w:i/>
          </w:rPr>
          <w:t>GHS de las Naciones Unidas o Libro púrpura (UNITAR, 2011)</w:t>
        </w:r>
        <w:r w:rsidR="00424640">
          <w:rPr>
            <w:webHidden/>
          </w:rPr>
          <w:tab/>
        </w:r>
        <w:r w:rsidR="00740978">
          <w:rPr>
            <w:webHidden/>
          </w:rPr>
          <w:fldChar w:fldCharType="begin"/>
        </w:r>
        <w:r w:rsidR="00424640">
          <w:rPr>
            <w:webHidden/>
          </w:rPr>
          <w:instrText xml:space="preserve"> PAGEREF _Toc418168856 \h </w:instrText>
        </w:r>
        <w:r w:rsidR="00740978">
          <w:rPr>
            <w:webHidden/>
          </w:rPr>
        </w:r>
        <w:r w:rsidR="00740978">
          <w:rPr>
            <w:webHidden/>
          </w:rPr>
          <w:fldChar w:fldCharType="separate"/>
        </w:r>
        <w:r w:rsidR="00107B24">
          <w:rPr>
            <w:webHidden/>
          </w:rPr>
          <w:t>14</w:t>
        </w:r>
        <w:r w:rsidR="00740978">
          <w:rPr>
            <w:webHidden/>
          </w:rPr>
          <w:fldChar w:fldCharType="end"/>
        </w:r>
      </w:hyperlink>
    </w:p>
    <w:p w:rsidR="00424640" w:rsidRDefault="00E26991">
      <w:pPr>
        <w:pStyle w:val="TOC4"/>
        <w:rPr>
          <w:rFonts w:eastAsiaTheme="minorEastAsia" w:cstheme="minorBidi"/>
          <w:kern w:val="0"/>
          <w:sz w:val="22"/>
          <w:szCs w:val="22"/>
          <w:lang w:val="es-CL" w:eastAsia="es-CL"/>
        </w:rPr>
      </w:pPr>
      <w:hyperlink w:anchor="_Toc418168857" w:history="1">
        <w:r w:rsidR="00424640" w:rsidRPr="00F60307">
          <w:rPr>
            <w:rStyle w:val="Hyperlink"/>
            <w:b/>
            <w:i/>
          </w:rPr>
          <w:t>3.1.1.2</w:t>
        </w:r>
        <w:r w:rsidR="00424640">
          <w:rPr>
            <w:rFonts w:eastAsiaTheme="minorEastAsia" w:cstheme="minorBidi"/>
            <w:kern w:val="0"/>
            <w:sz w:val="22"/>
            <w:szCs w:val="22"/>
            <w:lang w:val="es-CL" w:eastAsia="es-CL"/>
          </w:rPr>
          <w:tab/>
        </w:r>
        <w:r w:rsidR="00424640" w:rsidRPr="00F60307">
          <w:rPr>
            <w:rStyle w:val="Hyperlink"/>
            <w:b/>
            <w:i/>
          </w:rPr>
          <w:t>Elaboración de una Estrategia Nacional de Aplicación del GHS (UNITAR, 2010)</w:t>
        </w:r>
        <w:r w:rsidR="00424640">
          <w:rPr>
            <w:webHidden/>
          </w:rPr>
          <w:tab/>
        </w:r>
        <w:r w:rsidR="00740978">
          <w:rPr>
            <w:webHidden/>
          </w:rPr>
          <w:fldChar w:fldCharType="begin"/>
        </w:r>
        <w:r w:rsidR="00424640">
          <w:rPr>
            <w:webHidden/>
          </w:rPr>
          <w:instrText xml:space="preserve"> PAGEREF _Toc418168857 \h </w:instrText>
        </w:r>
        <w:r w:rsidR="00740978">
          <w:rPr>
            <w:webHidden/>
          </w:rPr>
        </w:r>
        <w:r w:rsidR="00740978">
          <w:rPr>
            <w:webHidden/>
          </w:rPr>
          <w:fldChar w:fldCharType="separate"/>
        </w:r>
        <w:r w:rsidR="00107B24">
          <w:rPr>
            <w:webHidden/>
          </w:rPr>
          <w:t>14</w:t>
        </w:r>
        <w:r w:rsidR="00740978">
          <w:rPr>
            <w:webHidden/>
          </w:rPr>
          <w:fldChar w:fldCharType="end"/>
        </w:r>
      </w:hyperlink>
    </w:p>
    <w:p w:rsidR="00424640" w:rsidRDefault="00E26991">
      <w:pPr>
        <w:pStyle w:val="TOC4"/>
        <w:rPr>
          <w:rFonts w:eastAsiaTheme="minorEastAsia" w:cstheme="minorBidi"/>
          <w:kern w:val="0"/>
          <w:sz w:val="22"/>
          <w:szCs w:val="22"/>
          <w:lang w:val="es-CL" w:eastAsia="es-CL"/>
        </w:rPr>
      </w:pPr>
      <w:hyperlink w:anchor="_Toc418168858" w:history="1">
        <w:r w:rsidR="00424640" w:rsidRPr="00F60307">
          <w:rPr>
            <w:rStyle w:val="Hyperlink"/>
            <w:b/>
            <w:i/>
          </w:rPr>
          <w:t>3.1.1.3</w:t>
        </w:r>
        <w:r w:rsidR="00424640">
          <w:rPr>
            <w:rFonts w:eastAsiaTheme="minorEastAsia" w:cstheme="minorBidi"/>
            <w:kern w:val="0"/>
            <w:sz w:val="22"/>
            <w:szCs w:val="22"/>
            <w:lang w:val="es-CL" w:eastAsia="es-CL"/>
          </w:rPr>
          <w:tab/>
        </w:r>
        <w:r w:rsidR="00424640" w:rsidRPr="00F60307">
          <w:rPr>
            <w:rStyle w:val="Hyperlink"/>
            <w:b/>
            <w:i/>
          </w:rPr>
          <w:t>Curso básico “Introducción al GHS” (UNITAR, 2011)</w:t>
        </w:r>
        <w:r w:rsidR="00424640">
          <w:rPr>
            <w:webHidden/>
          </w:rPr>
          <w:tab/>
        </w:r>
        <w:r w:rsidR="00740978">
          <w:rPr>
            <w:webHidden/>
          </w:rPr>
          <w:fldChar w:fldCharType="begin"/>
        </w:r>
        <w:r w:rsidR="00424640">
          <w:rPr>
            <w:webHidden/>
          </w:rPr>
          <w:instrText xml:space="preserve"> PAGEREF _Toc418168858 \h </w:instrText>
        </w:r>
        <w:r w:rsidR="00740978">
          <w:rPr>
            <w:webHidden/>
          </w:rPr>
        </w:r>
        <w:r w:rsidR="00740978">
          <w:rPr>
            <w:webHidden/>
          </w:rPr>
          <w:fldChar w:fldCharType="separate"/>
        </w:r>
        <w:r w:rsidR="00107B24">
          <w:rPr>
            <w:webHidden/>
          </w:rPr>
          <w:t>17</w:t>
        </w:r>
        <w:r w:rsidR="00740978">
          <w:rPr>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859" w:history="1">
        <w:r w:rsidR="00424640" w:rsidRPr="00F60307">
          <w:rPr>
            <w:rStyle w:val="Hyperlink"/>
            <w:noProof/>
          </w:rPr>
          <w:t>3.1.2</w:t>
        </w:r>
        <w:r w:rsidR="00424640">
          <w:rPr>
            <w:rFonts w:eastAsiaTheme="minorEastAsia" w:cstheme="minorBidi"/>
            <w:i w:val="0"/>
            <w:iCs w:val="0"/>
            <w:noProof/>
            <w:kern w:val="0"/>
            <w:sz w:val="22"/>
            <w:szCs w:val="22"/>
            <w:lang w:val="es-CL" w:eastAsia="es-CL"/>
          </w:rPr>
          <w:tab/>
        </w:r>
        <w:r w:rsidR="00424640" w:rsidRPr="00F60307">
          <w:rPr>
            <w:rStyle w:val="Hyperlink"/>
            <w:noProof/>
          </w:rPr>
          <w:t>UNECE</w:t>
        </w:r>
        <w:r w:rsidR="00424640">
          <w:rPr>
            <w:noProof/>
            <w:webHidden/>
          </w:rPr>
          <w:tab/>
        </w:r>
        <w:r w:rsidR="00740978">
          <w:rPr>
            <w:noProof/>
            <w:webHidden/>
          </w:rPr>
          <w:fldChar w:fldCharType="begin"/>
        </w:r>
        <w:r w:rsidR="00424640">
          <w:rPr>
            <w:noProof/>
            <w:webHidden/>
          </w:rPr>
          <w:instrText xml:space="preserve"> PAGEREF _Toc418168859 \h </w:instrText>
        </w:r>
        <w:r w:rsidR="00740978">
          <w:rPr>
            <w:noProof/>
            <w:webHidden/>
          </w:rPr>
        </w:r>
        <w:r w:rsidR="00740978">
          <w:rPr>
            <w:noProof/>
            <w:webHidden/>
          </w:rPr>
          <w:fldChar w:fldCharType="separate"/>
        </w:r>
        <w:r w:rsidR="00107B24">
          <w:rPr>
            <w:noProof/>
            <w:webHidden/>
          </w:rPr>
          <w:t>18</w:t>
        </w:r>
        <w:r w:rsidR="00740978">
          <w:rPr>
            <w:noProof/>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860" w:history="1">
        <w:r w:rsidR="00424640" w:rsidRPr="00F60307">
          <w:rPr>
            <w:rStyle w:val="Hyperlink"/>
            <w:noProof/>
          </w:rPr>
          <w:t>3.1.3</w:t>
        </w:r>
        <w:r w:rsidR="00424640">
          <w:rPr>
            <w:rFonts w:eastAsiaTheme="minorEastAsia" w:cstheme="minorBidi"/>
            <w:i w:val="0"/>
            <w:iCs w:val="0"/>
            <w:noProof/>
            <w:kern w:val="0"/>
            <w:sz w:val="22"/>
            <w:szCs w:val="22"/>
            <w:lang w:val="es-CL" w:eastAsia="es-CL"/>
          </w:rPr>
          <w:tab/>
        </w:r>
        <w:r w:rsidR="00424640" w:rsidRPr="00F60307">
          <w:rPr>
            <w:rStyle w:val="Hyperlink"/>
            <w:noProof/>
          </w:rPr>
          <w:t>REACH - CLP</w:t>
        </w:r>
        <w:r w:rsidR="00424640">
          <w:rPr>
            <w:noProof/>
            <w:webHidden/>
          </w:rPr>
          <w:tab/>
        </w:r>
        <w:r w:rsidR="00740978">
          <w:rPr>
            <w:noProof/>
            <w:webHidden/>
          </w:rPr>
          <w:fldChar w:fldCharType="begin"/>
        </w:r>
        <w:r w:rsidR="00424640">
          <w:rPr>
            <w:noProof/>
            <w:webHidden/>
          </w:rPr>
          <w:instrText xml:space="preserve"> PAGEREF _Toc418168860 \h </w:instrText>
        </w:r>
        <w:r w:rsidR="00740978">
          <w:rPr>
            <w:noProof/>
            <w:webHidden/>
          </w:rPr>
        </w:r>
        <w:r w:rsidR="00740978">
          <w:rPr>
            <w:noProof/>
            <w:webHidden/>
          </w:rPr>
          <w:fldChar w:fldCharType="separate"/>
        </w:r>
        <w:r w:rsidR="00107B24">
          <w:rPr>
            <w:noProof/>
            <w:webHidden/>
          </w:rPr>
          <w:t>19</w:t>
        </w:r>
        <w:r w:rsidR="00740978">
          <w:rPr>
            <w:noProof/>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861" w:history="1">
        <w:r w:rsidR="00424640" w:rsidRPr="00F60307">
          <w:rPr>
            <w:rStyle w:val="Hyperlink"/>
            <w:noProof/>
          </w:rPr>
          <w:t>3.1.4</w:t>
        </w:r>
        <w:r w:rsidR="00424640">
          <w:rPr>
            <w:rFonts w:eastAsiaTheme="minorEastAsia" w:cstheme="minorBidi"/>
            <w:i w:val="0"/>
            <w:iCs w:val="0"/>
            <w:noProof/>
            <w:kern w:val="0"/>
            <w:sz w:val="22"/>
            <w:szCs w:val="22"/>
            <w:lang w:val="es-CL" w:eastAsia="es-CL"/>
          </w:rPr>
          <w:tab/>
        </w:r>
        <w:r w:rsidR="00424640" w:rsidRPr="00F60307">
          <w:rPr>
            <w:rStyle w:val="Hyperlink"/>
            <w:noProof/>
          </w:rPr>
          <w:t>OCDE</w:t>
        </w:r>
        <w:r w:rsidR="00424640">
          <w:rPr>
            <w:noProof/>
            <w:webHidden/>
          </w:rPr>
          <w:tab/>
        </w:r>
        <w:r w:rsidR="00740978">
          <w:rPr>
            <w:noProof/>
            <w:webHidden/>
          </w:rPr>
          <w:fldChar w:fldCharType="begin"/>
        </w:r>
        <w:r w:rsidR="00424640">
          <w:rPr>
            <w:noProof/>
            <w:webHidden/>
          </w:rPr>
          <w:instrText xml:space="preserve"> PAGEREF _Toc418168861 \h </w:instrText>
        </w:r>
        <w:r w:rsidR="00740978">
          <w:rPr>
            <w:noProof/>
            <w:webHidden/>
          </w:rPr>
        </w:r>
        <w:r w:rsidR="00740978">
          <w:rPr>
            <w:noProof/>
            <w:webHidden/>
          </w:rPr>
          <w:fldChar w:fldCharType="separate"/>
        </w:r>
        <w:r w:rsidR="00107B24">
          <w:rPr>
            <w:noProof/>
            <w:webHidden/>
          </w:rPr>
          <w:t>19</w:t>
        </w:r>
        <w:r w:rsidR="00740978">
          <w:rPr>
            <w:noProof/>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862" w:history="1">
        <w:r w:rsidR="00424640" w:rsidRPr="00F60307">
          <w:rPr>
            <w:rStyle w:val="Hyperlink"/>
            <w:noProof/>
          </w:rPr>
          <w:t>3.1.5</w:t>
        </w:r>
        <w:r w:rsidR="00424640">
          <w:rPr>
            <w:rFonts w:eastAsiaTheme="minorEastAsia" w:cstheme="minorBidi"/>
            <w:i w:val="0"/>
            <w:iCs w:val="0"/>
            <w:noProof/>
            <w:kern w:val="0"/>
            <w:sz w:val="22"/>
            <w:szCs w:val="22"/>
            <w:lang w:val="es-CL" w:eastAsia="es-CL"/>
          </w:rPr>
          <w:tab/>
        </w:r>
        <w:r w:rsidR="00424640" w:rsidRPr="00F60307">
          <w:rPr>
            <w:rStyle w:val="Hyperlink"/>
            <w:noProof/>
          </w:rPr>
          <w:t>APEC</w:t>
        </w:r>
        <w:r w:rsidR="00424640">
          <w:rPr>
            <w:noProof/>
            <w:webHidden/>
          </w:rPr>
          <w:tab/>
        </w:r>
        <w:r w:rsidR="00740978">
          <w:rPr>
            <w:noProof/>
            <w:webHidden/>
          </w:rPr>
          <w:fldChar w:fldCharType="begin"/>
        </w:r>
        <w:r w:rsidR="00424640">
          <w:rPr>
            <w:noProof/>
            <w:webHidden/>
          </w:rPr>
          <w:instrText xml:space="preserve"> PAGEREF _Toc418168862 \h </w:instrText>
        </w:r>
        <w:r w:rsidR="00740978">
          <w:rPr>
            <w:noProof/>
            <w:webHidden/>
          </w:rPr>
        </w:r>
        <w:r w:rsidR="00740978">
          <w:rPr>
            <w:noProof/>
            <w:webHidden/>
          </w:rPr>
          <w:fldChar w:fldCharType="separate"/>
        </w:r>
        <w:r w:rsidR="00107B24">
          <w:rPr>
            <w:noProof/>
            <w:webHidden/>
          </w:rPr>
          <w:t>21</w:t>
        </w:r>
        <w:r w:rsidR="00740978">
          <w:rPr>
            <w:noProof/>
            <w:webHidden/>
          </w:rPr>
          <w:fldChar w:fldCharType="end"/>
        </w:r>
      </w:hyperlink>
    </w:p>
    <w:p w:rsidR="00424640" w:rsidRDefault="00E26991">
      <w:pPr>
        <w:pStyle w:val="TOC2"/>
        <w:tabs>
          <w:tab w:val="left" w:pos="920"/>
          <w:tab w:val="right" w:leader="dot" w:pos="9913"/>
        </w:tabs>
        <w:rPr>
          <w:rFonts w:eastAsiaTheme="minorEastAsia" w:cstheme="minorBidi"/>
          <w:smallCaps w:val="0"/>
          <w:noProof/>
          <w:kern w:val="0"/>
          <w:sz w:val="22"/>
          <w:szCs w:val="22"/>
          <w:lang w:val="es-CL" w:eastAsia="es-CL"/>
        </w:rPr>
      </w:pPr>
      <w:hyperlink w:anchor="_Toc418168863" w:history="1">
        <w:r w:rsidR="00424640" w:rsidRPr="00F60307">
          <w:rPr>
            <w:rStyle w:val="Hyperlink"/>
            <w:noProof/>
            <w:lang w:val="es-CL"/>
          </w:rPr>
          <w:t>3.2</w:t>
        </w:r>
        <w:r w:rsidR="00424640">
          <w:rPr>
            <w:rFonts w:eastAsiaTheme="minorEastAsia" w:cstheme="minorBidi"/>
            <w:smallCaps w:val="0"/>
            <w:noProof/>
            <w:kern w:val="0"/>
            <w:sz w:val="22"/>
            <w:szCs w:val="22"/>
            <w:lang w:val="es-CL" w:eastAsia="es-CL"/>
          </w:rPr>
          <w:tab/>
        </w:r>
        <w:r w:rsidR="00424640" w:rsidRPr="00F60307">
          <w:rPr>
            <w:rStyle w:val="Hyperlink"/>
            <w:noProof/>
            <w:lang w:val="es-CL"/>
          </w:rPr>
          <w:t>Información respecto a avances y acuerdos en Chile</w:t>
        </w:r>
        <w:r w:rsidR="00424640">
          <w:rPr>
            <w:noProof/>
            <w:webHidden/>
          </w:rPr>
          <w:tab/>
        </w:r>
        <w:r w:rsidR="00740978">
          <w:rPr>
            <w:noProof/>
            <w:webHidden/>
          </w:rPr>
          <w:fldChar w:fldCharType="begin"/>
        </w:r>
        <w:r w:rsidR="00424640">
          <w:rPr>
            <w:noProof/>
            <w:webHidden/>
          </w:rPr>
          <w:instrText xml:space="preserve"> PAGEREF _Toc418168863 \h </w:instrText>
        </w:r>
        <w:r w:rsidR="00740978">
          <w:rPr>
            <w:noProof/>
            <w:webHidden/>
          </w:rPr>
        </w:r>
        <w:r w:rsidR="00740978">
          <w:rPr>
            <w:noProof/>
            <w:webHidden/>
          </w:rPr>
          <w:fldChar w:fldCharType="separate"/>
        </w:r>
        <w:r w:rsidR="00107B24">
          <w:rPr>
            <w:noProof/>
            <w:webHidden/>
          </w:rPr>
          <w:t>22</w:t>
        </w:r>
        <w:r w:rsidR="00740978">
          <w:rPr>
            <w:noProof/>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864" w:history="1">
        <w:r w:rsidR="00424640" w:rsidRPr="00F60307">
          <w:rPr>
            <w:rStyle w:val="Hyperlink"/>
            <w:noProof/>
          </w:rPr>
          <w:t>3.2.1</w:t>
        </w:r>
        <w:r w:rsidR="00424640">
          <w:rPr>
            <w:rFonts w:eastAsiaTheme="minorEastAsia" w:cstheme="minorBidi"/>
            <w:i w:val="0"/>
            <w:iCs w:val="0"/>
            <w:noProof/>
            <w:kern w:val="0"/>
            <w:sz w:val="22"/>
            <w:szCs w:val="22"/>
            <w:lang w:val="es-CL" w:eastAsia="es-CL"/>
          </w:rPr>
          <w:tab/>
        </w:r>
        <w:r w:rsidR="00424640" w:rsidRPr="00F60307">
          <w:rPr>
            <w:rStyle w:val="Hyperlink"/>
            <w:noProof/>
          </w:rPr>
          <w:t>SAICM</w:t>
        </w:r>
        <w:r w:rsidR="00424640">
          <w:rPr>
            <w:noProof/>
            <w:webHidden/>
          </w:rPr>
          <w:tab/>
        </w:r>
        <w:r w:rsidR="00740978">
          <w:rPr>
            <w:noProof/>
            <w:webHidden/>
          </w:rPr>
          <w:fldChar w:fldCharType="begin"/>
        </w:r>
        <w:r w:rsidR="00424640">
          <w:rPr>
            <w:noProof/>
            <w:webHidden/>
          </w:rPr>
          <w:instrText xml:space="preserve"> PAGEREF _Toc418168864 \h </w:instrText>
        </w:r>
        <w:r w:rsidR="00740978">
          <w:rPr>
            <w:noProof/>
            <w:webHidden/>
          </w:rPr>
        </w:r>
        <w:r w:rsidR="00740978">
          <w:rPr>
            <w:noProof/>
            <w:webHidden/>
          </w:rPr>
          <w:fldChar w:fldCharType="separate"/>
        </w:r>
        <w:r w:rsidR="00107B24">
          <w:rPr>
            <w:noProof/>
            <w:webHidden/>
          </w:rPr>
          <w:t>22</w:t>
        </w:r>
        <w:r w:rsidR="00740978">
          <w:rPr>
            <w:noProof/>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865" w:history="1">
        <w:r w:rsidR="00424640" w:rsidRPr="00F60307">
          <w:rPr>
            <w:rStyle w:val="Hyperlink"/>
            <w:noProof/>
          </w:rPr>
          <w:t>3.2.2</w:t>
        </w:r>
        <w:r w:rsidR="00424640">
          <w:rPr>
            <w:rFonts w:eastAsiaTheme="minorEastAsia" w:cstheme="minorBidi"/>
            <w:i w:val="0"/>
            <w:iCs w:val="0"/>
            <w:noProof/>
            <w:kern w:val="0"/>
            <w:sz w:val="22"/>
            <w:szCs w:val="22"/>
            <w:lang w:val="es-CL" w:eastAsia="es-CL"/>
          </w:rPr>
          <w:tab/>
        </w:r>
        <w:r w:rsidR="00424640" w:rsidRPr="00F60307">
          <w:rPr>
            <w:rStyle w:val="Hyperlink"/>
            <w:noProof/>
          </w:rPr>
          <w:t>Mercosur/BID</w:t>
        </w:r>
        <w:r w:rsidR="00424640">
          <w:rPr>
            <w:noProof/>
            <w:webHidden/>
          </w:rPr>
          <w:tab/>
        </w:r>
        <w:r w:rsidR="00740978">
          <w:rPr>
            <w:noProof/>
            <w:webHidden/>
          </w:rPr>
          <w:fldChar w:fldCharType="begin"/>
        </w:r>
        <w:r w:rsidR="00424640">
          <w:rPr>
            <w:noProof/>
            <w:webHidden/>
          </w:rPr>
          <w:instrText xml:space="preserve"> PAGEREF _Toc418168865 \h </w:instrText>
        </w:r>
        <w:r w:rsidR="00740978">
          <w:rPr>
            <w:noProof/>
            <w:webHidden/>
          </w:rPr>
        </w:r>
        <w:r w:rsidR="00740978">
          <w:rPr>
            <w:noProof/>
            <w:webHidden/>
          </w:rPr>
          <w:fldChar w:fldCharType="separate"/>
        </w:r>
        <w:r w:rsidR="00107B24">
          <w:rPr>
            <w:noProof/>
            <w:webHidden/>
          </w:rPr>
          <w:t>23</w:t>
        </w:r>
        <w:r w:rsidR="00740978">
          <w:rPr>
            <w:noProof/>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866" w:history="1">
        <w:r w:rsidR="00424640" w:rsidRPr="00F60307">
          <w:rPr>
            <w:rStyle w:val="Hyperlink"/>
            <w:noProof/>
          </w:rPr>
          <w:t>3.2.3</w:t>
        </w:r>
        <w:r w:rsidR="00424640">
          <w:rPr>
            <w:rFonts w:eastAsiaTheme="minorEastAsia" w:cstheme="minorBidi"/>
            <w:i w:val="0"/>
            <w:iCs w:val="0"/>
            <w:noProof/>
            <w:kern w:val="0"/>
            <w:sz w:val="22"/>
            <w:szCs w:val="22"/>
            <w:lang w:val="es-CL" w:eastAsia="es-CL"/>
          </w:rPr>
          <w:tab/>
        </w:r>
        <w:r w:rsidR="00424640" w:rsidRPr="00F60307">
          <w:rPr>
            <w:rStyle w:val="Hyperlink"/>
            <w:noProof/>
          </w:rPr>
          <w:t>Cronología de actividades</w:t>
        </w:r>
        <w:r w:rsidR="00424640">
          <w:rPr>
            <w:noProof/>
            <w:webHidden/>
          </w:rPr>
          <w:tab/>
        </w:r>
        <w:r w:rsidR="00740978">
          <w:rPr>
            <w:noProof/>
            <w:webHidden/>
          </w:rPr>
          <w:fldChar w:fldCharType="begin"/>
        </w:r>
        <w:r w:rsidR="00424640">
          <w:rPr>
            <w:noProof/>
            <w:webHidden/>
          </w:rPr>
          <w:instrText xml:space="preserve"> PAGEREF _Toc418168866 \h </w:instrText>
        </w:r>
        <w:r w:rsidR="00740978">
          <w:rPr>
            <w:noProof/>
            <w:webHidden/>
          </w:rPr>
        </w:r>
        <w:r w:rsidR="00740978">
          <w:rPr>
            <w:noProof/>
            <w:webHidden/>
          </w:rPr>
          <w:fldChar w:fldCharType="separate"/>
        </w:r>
        <w:r w:rsidR="00107B24">
          <w:rPr>
            <w:noProof/>
            <w:webHidden/>
          </w:rPr>
          <w:t>24</w:t>
        </w:r>
        <w:r w:rsidR="00740978">
          <w:rPr>
            <w:noProof/>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867" w:history="1">
        <w:r w:rsidR="00424640" w:rsidRPr="00F60307">
          <w:rPr>
            <w:rStyle w:val="Hyperlink"/>
            <w:noProof/>
          </w:rPr>
          <w:t>3.2.4</w:t>
        </w:r>
        <w:r w:rsidR="00424640">
          <w:rPr>
            <w:rFonts w:eastAsiaTheme="minorEastAsia" w:cstheme="minorBidi"/>
            <w:i w:val="0"/>
            <w:iCs w:val="0"/>
            <w:noProof/>
            <w:kern w:val="0"/>
            <w:sz w:val="22"/>
            <w:szCs w:val="22"/>
            <w:lang w:val="es-CL" w:eastAsia="es-CL"/>
          </w:rPr>
          <w:tab/>
        </w:r>
        <w:r w:rsidR="00424640" w:rsidRPr="00F60307">
          <w:rPr>
            <w:rStyle w:val="Hyperlink"/>
            <w:noProof/>
          </w:rPr>
          <w:t>Perfil Químico Nacional</w:t>
        </w:r>
        <w:r w:rsidR="00424640">
          <w:rPr>
            <w:noProof/>
            <w:webHidden/>
          </w:rPr>
          <w:tab/>
        </w:r>
        <w:r w:rsidR="00740978">
          <w:rPr>
            <w:noProof/>
            <w:webHidden/>
          </w:rPr>
          <w:fldChar w:fldCharType="begin"/>
        </w:r>
        <w:r w:rsidR="00424640">
          <w:rPr>
            <w:noProof/>
            <w:webHidden/>
          </w:rPr>
          <w:instrText xml:space="preserve"> PAGEREF _Toc418168867 \h </w:instrText>
        </w:r>
        <w:r w:rsidR="00740978">
          <w:rPr>
            <w:noProof/>
            <w:webHidden/>
          </w:rPr>
        </w:r>
        <w:r w:rsidR="00740978">
          <w:rPr>
            <w:noProof/>
            <w:webHidden/>
          </w:rPr>
          <w:fldChar w:fldCharType="separate"/>
        </w:r>
        <w:r w:rsidR="00107B24">
          <w:rPr>
            <w:noProof/>
            <w:webHidden/>
          </w:rPr>
          <w:t>29</w:t>
        </w:r>
        <w:r w:rsidR="00740978">
          <w:rPr>
            <w:noProof/>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868" w:history="1">
        <w:r w:rsidR="00424640" w:rsidRPr="00F60307">
          <w:rPr>
            <w:rStyle w:val="Hyperlink"/>
            <w:noProof/>
          </w:rPr>
          <w:t>3.2.5</w:t>
        </w:r>
        <w:r w:rsidR="00424640">
          <w:rPr>
            <w:rFonts w:eastAsiaTheme="minorEastAsia" w:cstheme="minorBidi"/>
            <w:i w:val="0"/>
            <w:iCs w:val="0"/>
            <w:noProof/>
            <w:kern w:val="0"/>
            <w:sz w:val="22"/>
            <w:szCs w:val="22"/>
            <w:lang w:val="es-CL" w:eastAsia="es-CL"/>
          </w:rPr>
          <w:tab/>
        </w:r>
        <w:r w:rsidR="00424640" w:rsidRPr="00F60307">
          <w:rPr>
            <w:rStyle w:val="Hyperlink"/>
            <w:noProof/>
          </w:rPr>
          <w:t>Análisis de vacíos legales (MINSAL, 2013)</w:t>
        </w:r>
        <w:r w:rsidR="00424640">
          <w:rPr>
            <w:noProof/>
            <w:webHidden/>
          </w:rPr>
          <w:tab/>
        </w:r>
        <w:r w:rsidR="00740978">
          <w:rPr>
            <w:noProof/>
            <w:webHidden/>
          </w:rPr>
          <w:fldChar w:fldCharType="begin"/>
        </w:r>
        <w:r w:rsidR="00424640">
          <w:rPr>
            <w:noProof/>
            <w:webHidden/>
          </w:rPr>
          <w:instrText xml:space="preserve"> PAGEREF _Toc418168868 \h </w:instrText>
        </w:r>
        <w:r w:rsidR="00740978">
          <w:rPr>
            <w:noProof/>
            <w:webHidden/>
          </w:rPr>
        </w:r>
        <w:r w:rsidR="00740978">
          <w:rPr>
            <w:noProof/>
            <w:webHidden/>
          </w:rPr>
          <w:fldChar w:fldCharType="separate"/>
        </w:r>
        <w:r w:rsidR="00107B24">
          <w:rPr>
            <w:noProof/>
            <w:webHidden/>
          </w:rPr>
          <w:t>30</w:t>
        </w:r>
        <w:r w:rsidR="00740978">
          <w:rPr>
            <w:noProof/>
            <w:webHidden/>
          </w:rPr>
          <w:fldChar w:fldCharType="end"/>
        </w:r>
      </w:hyperlink>
    </w:p>
    <w:p w:rsidR="00424640" w:rsidRDefault="00E26991">
      <w:pPr>
        <w:pStyle w:val="TOC2"/>
        <w:tabs>
          <w:tab w:val="left" w:pos="920"/>
          <w:tab w:val="right" w:leader="dot" w:pos="9913"/>
        </w:tabs>
        <w:rPr>
          <w:rFonts w:eastAsiaTheme="minorEastAsia" w:cstheme="minorBidi"/>
          <w:smallCaps w:val="0"/>
          <w:noProof/>
          <w:kern w:val="0"/>
          <w:sz w:val="22"/>
          <w:szCs w:val="22"/>
          <w:lang w:val="es-CL" w:eastAsia="es-CL"/>
        </w:rPr>
      </w:pPr>
      <w:hyperlink w:anchor="_Toc418168869" w:history="1">
        <w:r w:rsidR="00424640" w:rsidRPr="00F60307">
          <w:rPr>
            <w:rStyle w:val="Hyperlink"/>
            <w:noProof/>
            <w:lang w:val="es-CL"/>
          </w:rPr>
          <w:t>3.3</w:t>
        </w:r>
        <w:r w:rsidR="00424640">
          <w:rPr>
            <w:rFonts w:eastAsiaTheme="minorEastAsia" w:cstheme="minorBidi"/>
            <w:smallCaps w:val="0"/>
            <w:noProof/>
            <w:kern w:val="0"/>
            <w:sz w:val="22"/>
            <w:szCs w:val="22"/>
            <w:lang w:val="es-CL" w:eastAsia="es-CL"/>
          </w:rPr>
          <w:tab/>
        </w:r>
        <w:r w:rsidR="00424640" w:rsidRPr="00F60307">
          <w:rPr>
            <w:rStyle w:val="Hyperlink"/>
            <w:noProof/>
            <w:lang w:val="es-CL"/>
          </w:rPr>
          <w:t>Experiencias internacionales sobre implementación del GHS</w:t>
        </w:r>
        <w:r w:rsidR="00424640">
          <w:rPr>
            <w:noProof/>
            <w:webHidden/>
          </w:rPr>
          <w:tab/>
        </w:r>
        <w:r w:rsidR="00740978">
          <w:rPr>
            <w:noProof/>
            <w:webHidden/>
          </w:rPr>
          <w:fldChar w:fldCharType="begin"/>
        </w:r>
        <w:r w:rsidR="00424640">
          <w:rPr>
            <w:noProof/>
            <w:webHidden/>
          </w:rPr>
          <w:instrText xml:space="preserve"> PAGEREF _Toc418168869 \h </w:instrText>
        </w:r>
        <w:r w:rsidR="00740978">
          <w:rPr>
            <w:noProof/>
            <w:webHidden/>
          </w:rPr>
        </w:r>
        <w:r w:rsidR="00740978">
          <w:rPr>
            <w:noProof/>
            <w:webHidden/>
          </w:rPr>
          <w:fldChar w:fldCharType="separate"/>
        </w:r>
        <w:r w:rsidR="00107B24">
          <w:rPr>
            <w:noProof/>
            <w:webHidden/>
          </w:rPr>
          <w:t>31</w:t>
        </w:r>
        <w:r w:rsidR="00740978">
          <w:rPr>
            <w:noProof/>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870" w:history="1">
        <w:r w:rsidR="00424640" w:rsidRPr="00F60307">
          <w:rPr>
            <w:rStyle w:val="Hyperlink"/>
            <w:noProof/>
          </w:rPr>
          <w:t>3.3.1</w:t>
        </w:r>
        <w:r w:rsidR="00424640">
          <w:rPr>
            <w:rFonts w:eastAsiaTheme="minorEastAsia" w:cstheme="minorBidi"/>
            <w:i w:val="0"/>
            <w:iCs w:val="0"/>
            <w:noProof/>
            <w:kern w:val="0"/>
            <w:sz w:val="22"/>
            <w:szCs w:val="22"/>
            <w:lang w:val="es-CL" w:eastAsia="es-CL"/>
          </w:rPr>
          <w:tab/>
        </w:r>
        <w:r w:rsidR="00424640" w:rsidRPr="00F60307">
          <w:rPr>
            <w:rStyle w:val="Hyperlink"/>
            <w:noProof/>
          </w:rPr>
          <w:t>Latinoamérica</w:t>
        </w:r>
        <w:r w:rsidR="00424640">
          <w:rPr>
            <w:noProof/>
            <w:webHidden/>
          </w:rPr>
          <w:tab/>
        </w:r>
        <w:r w:rsidR="00740978">
          <w:rPr>
            <w:noProof/>
            <w:webHidden/>
          </w:rPr>
          <w:fldChar w:fldCharType="begin"/>
        </w:r>
        <w:r w:rsidR="00424640">
          <w:rPr>
            <w:noProof/>
            <w:webHidden/>
          </w:rPr>
          <w:instrText xml:space="preserve"> PAGEREF _Toc418168870 \h </w:instrText>
        </w:r>
        <w:r w:rsidR="00740978">
          <w:rPr>
            <w:noProof/>
            <w:webHidden/>
          </w:rPr>
        </w:r>
        <w:r w:rsidR="00740978">
          <w:rPr>
            <w:noProof/>
            <w:webHidden/>
          </w:rPr>
          <w:fldChar w:fldCharType="separate"/>
        </w:r>
        <w:r w:rsidR="00107B24">
          <w:rPr>
            <w:noProof/>
            <w:webHidden/>
          </w:rPr>
          <w:t>32</w:t>
        </w:r>
        <w:r w:rsidR="00740978">
          <w:rPr>
            <w:noProof/>
            <w:webHidden/>
          </w:rPr>
          <w:fldChar w:fldCharType="end"/>
        </w:r>
      </w:hyperlink>
    </w:p>
    <w:p w:rsidR="00424640" w:rsidRDefault="00E26991">
      <w:pPr>
        <w:pStyle w:val="TOC4"/>
        <w:rPr>
          <w:rFonts w:eastAsiaTheme="minorEastAsia" w:cstheme="minorBidi"/>
          <w:kern w:val="0"/>
          <w:sz w:val="22"/>
          <w:szCs w:val="22"/>
          <w:lang w:val="es-CL" w:eastAsia="es-CL"/>
        </w:rPr>
      </w:pPr>
      <w:hyperlink w:anchor="_Toc418168871" w:history="1">
        <w:r w:rsidR="00424640" w:rsidRPr="00F60307">
          <w:rPr>
            <w:rStyle w:val="Hyperlink"/>
            <w:b/>
            <w:i/>
          </w:rPr>
          <w:t>3.3.1.1</w:t>
        </w:r>
        <w:r w:rsidR="00424640">
          <w:rPr>
            <w:rFonts w:eastAsiaTheme="minorEastAsia" w:cstheme="minorBidi"/>
            <w:kern w:val="0"/>
            <w:sz w:val="22"/>
            <w:szCs w:val="22"/>
            <w:lang w:val="es-CL" w:eastAsia="es-CL"/>
          </w:rPr>
          <w:tab/>
        </w:r>
        <w:r w:rsidR="00424640" w:rsidRPr="00F60307">
          <w:rPr>
            <w:rStyle w:val="Hyperlink"/>
            <w:b/>
            <w:i/>
          </w:rPr>
          <w:t>Uruguay</w:t>
        </w:r>
        <w:r w:rsidR="00424640">
          <w:rPr>
            <w:webHidden/>
          </w:rPr>
          <w:tab/>
        </w:r>
        <w:r w:rsidR="00740978">
          <w:rPr>
            <w:webHidden/>
          </w:rPr>
          <w:fldChar w:fldCharType="begin"/>
        </w:r>
        <w:r w:rsidR="00424640">
          <w:rPr>
            <w:webHidden/>
          </w:rPr>
          <w:instrText xml:space="preserve"> PAGEREF _Toc418168871 \h </w:instrText>
        </w:r>
        <w:r w:rsidR="00740978">
          <w:rPr>
            <w:webHidden/>
          </w:rPr>
        </w:r>
        <w:r w:rsidR="00740978">
          <w:rPr>
            <w:webHidden/>
          </w:rPr>
          <w:fldChar w:fldCharType="separate"/>
        </w:r>
        <w:r w:rsidR="00107B24">
          <w:rPr>
            <w:webHidden/>
          </w:rPr>
          <w:t>32</w:t>
        </w:r>
        <w:r w:rsidR="00740978">
          <w:rPr>
            <w:webHidden/>
          </w:rPr>
          <w:fldChar w:fldCharType="end"/>
        </w:r>
      </w:hyperlink>
    </w:p>
    <w:p w:rsidR="00424640" w:rsidRDefault="00E26991">
      <w:pPr>
        <w:pStyle w:val="TOC4"/>
        <w:rPr>
          <w:rFonts w:eastAsiaTheme="minorEastAsia" w:cstheme="minorBidi"/>
          <w:kern w:val="0"/>
          <w:sz w:val="22"/>
          <w:szCs w:val="22"/>
          <w:lang w:val="es-CL" w:eastAsia="es-CL"/>
        </w:rPr>
      </w:pPr>
      <w:hyperlink w:anchor="_Toc418168872" w:history="1">
        <w:r w:rsidR="00424640" w:rsidRPr="00F60307">
          <w:rPr>
            <w:rStyle w:val="Hyperlink"/>
            <w:b/>
            <w:i/>
          </w:rPr>
          <w:t>3.3.1.2</w:t>
        </w:r>
        <w:r w:rsidR="00424640">
          <w:rPr>
            <w:rFonts w:eastAsiaTheme="minorEastAsia" w:cstheme="minorBidi"/>
            <w:kern w:val="0"/>
            <w:sz w:val="22"/>
            <w:szCs w:val="22"/>
            <w:lang w:val="es-CL" w:eastAsia="es-CL"/>
          </w:rPr>
          <w:tab/>
        </w:r>
        <w:r w:rsidR="00424640" w:rsidRPr="00F60307">
          <w:rPr>
            <w:rStyle w:val="Hyperlink"/>
            <w:b/>
            <w:i/>
          </w:rPr>
          <w:t>Brasil</w:t>
        </w:r>
        <w:r w:rsidR="00424640">
          <w:rPr>
            <w:webHidden/>
          </w:rPr>
          <w:tab/>
        </w:r>
        <w:r w:rsidR="00740978">
          <w:rPr>
            <w:webHidden/>
          </w:rPr>
          <w:fldChar w:fldCharType="begin"/>
        </w:r>
        <w:r w:rsidR="00424640">
          <w:rPr>
            <w:webHidden/>
          </w:rPr>
          <w:instrText xml:space="preserve"> PAGEREF _Toc418168872 \h </w:instrText>
        </w:r>
        <w:r w:rsidR="00740978">
          <w:rPr>
            <w:webHidden/>
          </w:rPr>
        </w:r>
        <w:r w:rsidR="00740978">
          <w:rPr>
            <w:webHidden/>
          </w:rPr>
          <w:fldChar w:fldCharType="separate"/>
        </w:r>
        <w:r w:rsidR="00107B24">
          <w:rPr>
            <w:webHidden/>
          </w:rPr>
          <w:t>33</w:t>
        </w:r>
        <w:r w:rsidR="00740978">
          <w:rPr>
            <w:webHidden/>
          </w:rPr>
          <w:fldChar w:fldCharType="end"/>
        </w:r>
      </w:hyperlink>
    </w:p>
    <w:p w:rsidR="00424640" w:rsidRDefault="00E26991">
      <w:pPr>
        <w:pStyle w:val="TOC4"/>
        <w:rPr>
          <w:rFonts w:eastAsiaTheme="minorEastAsia" w:cstheme="minorBidi"/>
          <w:kern w:val="0"/>
          <w:sz w:val="22"/>
          <w:szCs w:val="22"/>
          <w:lang w:val="es-CL" w:eastAsia="es-CL"/>
        </w:rPr>
      </w:pPr>
      <w:hyperlink w:anchor="_Toc418168873" w:history="1">
        <w:r w:rsidR="00424640" w:rsidRPr="00F60307">
          <w:rPr>
            <w:rStyle w:val="Hyperlink"/>
            <w:b/>
            <w:i/>
          </w:rPr>
          <w:t>3.3.1.3</w:t>
        </w:r>
        <w:r w:rsidR="00424640">
          <w:rPr>
            <w:rFonts w:eastAsiaTheme="minorEastAsia" w:cstheme="minorBidi"/>
            <w:kern w:val="0"/>
            <w:sz w:val="22"/>
            <w:szCs w:val="22"/>
            <w:lang w:val="es-CL" w:eastAsia="es-CL"/>
          </w:rPr>
          <w:tab/>
        </w:r>
        <w:r w:rsidR="00424640" w:rsidRPr="00F60307">
          <w:rPr>
            <w:rStyle w:val="Hyperlink"/>
            <w:b/>
            <w:i/>
          </w:rPr>
          <w:t>México</w:t>
        </w:r>
        <w:r w:rsidR="00424640">
          <w:rPr>
            <w:webHidden/>
          </w:rPr>
          <w:tab/>
        </w:r>
        <w:r w:rsidR="00740978">
          <w:rPr>
            <w:webHidden/>
          </w:rPr>
          <w:fldChar w:fldCharType="begin"/>
        </w:r>
        <w:r w:rsidR="00424640">
          <w:rPr>
            <w:webHidden/>
          </w:rPr>
          <w:instrText xml:space="preserve"> PAGEREF _Toc418168873 \h </w:instrText>
        </w:r>
        <w:r w:rsidR="00740978">
          <w:rPr>
            <w:webHidden/>
          </w:rPr>
        </w:r>
        <w:r w:rsidR="00740978">
          <w:rPr>
            <w:webHidden/>
          </w:rPr>
          <w:fldChar w:fldCharType="separate"/>
        </w:r>
        <w:r w:rsidR="00107B24">
          <w:rPr>
            <w:webHidden/>
          </w:rPr>
          <w:t>35</w:t>
        </w:r>
        <w:r w:rsidR="00740978">
          <w:rPr>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874" w:history="1">
        <w:r w:rsidR="00424640" w:rsidRPr="00F60307">
          <w:rPr>
            <w:rStyle w:val="Hyperlink"/>
            <w:noProof/>
          </w:rPr>
          <w:t>3.3.2</w:t>
        </w:r>
        <w:r w:rsidR="00424640">
          <w:rPr>
            <w:rFonts w:eastAsiaTheme="minorEastAsia" w:cstheme="minorBidi"/>
            <w:i w:val="0"/>
            <w:iCs w:val="0"/>
            <w:noProof/>
            <w:kern w:val="0"/>
            <w:sz w:val="22"/>
            <w:szCs w:val="22"/>
            <w:lang w:val="es-CL" w:eastAsia="es-CL"/>
          </w:rPr>
          <w:tab/>
        </w:r>
        <w:r w:rsidR="00424640" w:rsidRPr="00F60307">
          <w:rPr>
            <w:rStyle w:val="Hyperlink"/>
            <w:noProof/>
          </w:rPr>
          <w:t>Unión Europea</w:t>
        </w:r>
        <w:r w:rsidR="00424640">
          <w:rPr>
            <w:noProof/>
            <w:webHidden/>
          </w:rPr>
          <w:tab/>
        </w:r>
        <w:r w:rsidR="00740978">
          <w:rPr>
            <w:noProof/>
            <w:webHidden/>
          </w:rPr>
          <w:fldChar w:fldCharType="begin"/>
        </w:r>
        <w:r w:rsidR="00424640">
          <w:rPr>
            <w:noProof/>
            <w:webHidden/>
          </w:rPr>
          <w:instrText xml:space="preserve"> PAGEREF _Toc418168874 \h </w:instrText>
        </w:r>
        <w:r w:rsidR="00740978">
          <w:rPr>
            <w:noProof/>
            <w:webHidden/>
          </w:rPr>
        </w:r>
        <w:r w:rsidR="00740978">
          <w:rPr>
            <w:noProof/>
            <w:webHidden/>
          </w:rPr>
          <w:fldChar w:fldCharType="separate"/>
        </w:r>
        <w:r w:rsidR="00107B24">
          <w:rPr>
            <w:noProof/>
            <w:webHidden/>
          </w:rPr>
          <w:t>41</w:t>
        </w:r>
        <w:r w:rsidR="00740978">
          <w:rPr>
            <w:noProof/>
            <w:webHidden/>
          </w:rPr>
          <w:fldChar w:fldCharType="end"/>
        </w:r>
      </w:hyperlink>
    </w:p>
    <w:p w:rsidR="00424640" w:rsidRDefault="00E26991">
      <w:pPr>
        <w:pStyle w:val="TOC4"/>
        <w:rPr>
          <w:rFonts w:eastAsiaTheme="minorEastAsia" w:cstheme="minorBidi"/>
          <w:kern w:val="0"/>
          <w:sz w:val="22"/>
          <w:szCs w:val="22"/>
          <w:lang w:val="es-CL" w:eastAsia="es-CL"/>
        </w:rPr>
      </w:pPr>
      <w:hyperlink w:anchor="_Toc418168875" w:history="1">
        <w:r w:rsidR="00424640" w:rsidRPr="00F60307">
          <w:rPr>
            <w:rStyle w:val="Hyperlink"/>
            <w:b/>
            <w:i/>
          </w:rPr>
          <w:t>3.3.2.1</w:t>
        </w:r>
        <w:r w:rsidR="00424640">
          <w:rPr>
            <w:rFonts w:eastAsiaTheme="minorEastAsia" w:cstheme="minorBidi"/>
            <w:kern w:val="0"/>
            <w:sz w:val="22"/>
            <w:szCs w:val="22"/>
            <w:lang w:val="es-CL" w:eastAsia="es-CL"/>
          </w:rPr>
          <w:tab/>
        </w:r>
        <w:r w:rsidR="00424640" w:rsidRPr="00F60307">
          <w:rPr>
            <w:rStyle w:val="Hyperlink"/>
            <w:b/>
            <w:i/>
          </w:rPr>
          <w:t>Unión Europea</w:t>
        </w:r>
        <w:r w:rsidR="00424640">
          <w:rPr>
            <w:webHidden/>
          </w:rPr>
          <w:tab/>
        </w:r>
        <w:r w:rsidR="00740978">
          <w:rPr>
            <w:webHidden/>
          </w:rPr>
          <w:fldChar w:fldCharType="begin"/>
        </w:r>
        <w:r w:rsidR="00424640">
          <w:rPr>
            <w:webHidden/>
          </w:rPr>
          <w:instrText xml:space="preserve"> PAGEREF _Toc418168875 \h </w:instrText>
        </w:r>
        <w:r w:rsidR="00740978">
          <w:rPr>
            <w:webHidden/>
          </w:rPr>
        </w:r>
        <w:r w:rsidR="00740978">
          <w:rPr>
            <w:webHidden/>
          </w:rPr>
          <w:fldChar w:fldCharType="separate"/>
        </w:r>
        <w:r w:rsidR="00107B24">
          <w:rPr>
            <w:webHidden/>
          </w:rPr>
          <w:t>41</w:t>
        </w:r>
        <w:r w:rsidR="00740978">
          <w:rPr>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876" w:history="1">
        <w:r w:rsidR="00424640" w:rsidRPr="00F60307">
          <w:rPr>
            <w:rStyle w:val="Hyperlink"/>
            <w:noProof/>
          </w:rPr>
          <w:t>3.3.3</w:t>
        </w:r>
        <w:r w:rsidR="00424640">
          <w:rPr>
            <w:rFonts w:eastAsiaTheme="minorEastAsia" w:cstheme="minorBidi"/>
            <w:i w:val="0"/>
            <w:iCs w:val="0"/>
            <w:noProof/>
            <w:kern w:val="0"/>
            <w:sz w:val="22"/>
            <w:szCs w:val="22"/>
            <w:lang w:val="es-CL" w:eastAsia="es-CL"/>
          </w:rPr>
          <w:tab/>
        </w:r>
        <w:r w:rsidR="00424640" w:rsidRPr="00F60307">
          <w:rPr>
            <w:rStyle w:val="Hyperlink"/>
            <w:noProof/>
          </w:rPr>
          <w:t>América del Norte</w:t>
        </w:r>
        <w:r w:rsidR="00424640">
          <w:rPr>
            <w:noProof/>
            <w:webHidden/>
          </w:rPr>
          <w:tab/>
        </w:r>
        <w:r w:rsidR="00740978">
          <w:rPr>
            <w:noProof/>
            <w:webHidden/>
          </w:rPr>
          <w:fldChar w:fldCharType="begin"/>
        </w:r>
        <w:r w:rsidR="00424640">
          <w:rPr>
            <w:noProof/>
            <w:webHidden/>
          </w:rPr>
          <w:instrText xml:space="preserve"> PAGEREF _Toc418168876 \h </w:instrText>
        </w:r>
        <w:r w:rsidR="00740978">
          <w:rPr>
            <w:noProof/>
            <w:webHidden/>
          </w:rPr>
        </w:r>
        <w:r w:rsidR="00740978">
          <w:rPr>
            <w:noProof/>
            <w:webHidden/>
          </w:rPr>
          <w:fldChar w:fldCharType="separate"/>
        </w:r>
        <w:r w:rsidR="00107B24">
          <w:rPr>
            <w:noProof/>
            <w:webHidden/>
          </w:rPr>
          <w:t>45</w:t>
        </w:r>
        <w:r w:rsidR="00740978">
          <w:rPr>
            <w:noProof/>
            <w:webHidden/>
          </w:rPr>
          <w:fldChar w:fldCharType="end"/>
        </w:r>
      </w:hyperlink>
    </w:p>
    <w:p w:rsidR="00424640" w:rsidRDefault="00E26991">
      <w:pPr>
        <w:pStyle w:val="TOC4"/>
        <w:rPr>
          <w:rFonts w:eastAsiaTheme="minorEastAsia" w:cstheme="minorBidi"/>
          <w:kern w:val="0"/>
          <w:sz w:val="22"/>
          <w:szCs w:val="22"/>
          <w:lang w:val="es-CL" w:eastAsia="es-CL"/>
        </w:rPr>
      </w:pPr>
      <w:hyperlink w:anchor="_Toc418168877" w:history="1">
        <w:r w:rsidR="00424640" w:rsidRPr="00F60307">
          <w:rPr>
            <w:rStyle w:val="Hyperlink"/>
            <w:b/>
            <w:i/>
          </w:rPr>
          <w:t>3.3.3.1</w:t>
        </w:r>
        <w:r w:rsidR="00424640">
          <w:rPr>
            <w:rFonts w:eastAsiaTheme="minorEastAsia" w:cstheme="minorBidi"/>
            <w:kern w:val="0"/>
            <w:sz w:val="22"/>
            <w:szCs w:val="22"/>
            <w:lang w:val="es-CL" w:eastAsia="es-CL"/>
          </w:rPr>
          <w:tab/>
        </w:r>
        <w:r w:rsidR="00424640" w:rsidRPr="00F60307">
          <w:rPr>
            <w:rStyle w:val="Hyperlink"/>
            <w:b/>
            <w:i/>
          </w:rPr>
          <w:t>Estados Unidos</w:t>
        </w:r>
        <w:r w:rsidR="00424640">
          <w:rPr>
            <w:webHidden/>
          </w:rPr>
          <w:tab/>
        </w:r>
        <w:r w:rsidR="00740978">
          <w:rPr>
            <w:webHidden/>
          </w:rPr>
          <w:fldChar w:fldCharType="begin"/>
        </w:r>
        <w:r w:rsidR="00424640">
          <w:rPr>
            <w:webHidden/>
          </w:rPr>
          <w:instrText xml:space="preserve"> PAGEREF _Toc418168877 \h </w:instrText>
        </w:r>
        <w:r w:rsidR="00740978">
          <w:rPr>
            <w:webHidden/>
          </w:rPr>
        </w:r>
        <w:r w:rsidR="00740978">
          <w:rPr>
            <w:webHidden/>
          </w:rPr>
          <w:fldChar w:fldCharType="separate"/>
        </w:r>
        <w:r w:rsidR="00107B24">
          <w:rPr>
            <w:webHidden/>
          </w:rPr>
          <w:t>46</w:t>
        </w:r>
        <w:r w:rsidR="00740978">
          <w:rPr>
            <w:webHidden/>
          </w:rPr>
          <w:fldChar w:fldCharType="end"/>
        </w:r>
      </w:hyperlink>
    </w:p>
    <w:p w:rsidR="00424640" w:rsidRDefault="00E26991">
      <w:pPr>
        <w:pStyle w:val="TOC4"/>
        <w:rPr>
          <w:rFonts w:eastAsiaTheme="minorEastAsia" w:cstheme="minorBidi"/>
          <w:kern w:val="0"/>
          <w:sz w:val="22"/>
          <w:szCs w:val="22"/>
          <w:lang w:val="es-CL" w:eastAsia="es-CL"/>
        </w:rPr>
      </w:pPr>
      <w:hyperlink w:anchor="_Toc418168878" w:history="1">
        <w:r w:rsidR="00424640" w:rsidRPr="00F60307">
          <w:rPr>
            <w:rStyle w:val="Hyperlink"/>
            <w:b/>
            <w:i/>
          </w:rPr>
          <w:t>3.3.3.2</w:t>
        </w:r>
        <w:r w:rsidR="00424640">
          <w:rPr>
            <w:rFonts w:eastAsiaTheme="minorEastAsia" w:cstheme="minorBidi"/>
            <w:kern w:val="0"/>
            <w:sz w:val="22"/>
            <w:szCs w:val="22"/>
            <w:lang w:val="es-CL" w:eastAsia="es-CL"/>
          </w:rPr>
          <w:tab/>
        </w:r>
        <w:r w:rsidR="00424640" w:rsidRPr="00F60307">
          <w:rPr>
            <w:rStyle w:val="Hyperlink"/>
            <w:b/>
            <w:i/>
          </w:rPr>
          <w:t>Canadá</w:t>
        </w:r>
        <w:r w:rsidR="00424640">
          <w:rPr>
            <w:webHidden/>
          </w:rPr>
          <w:tab/>
        </w:r>
        <w:r w:rsidR="00740978">
          <w:rPr>
            <w:webHidden/>
          </w:rPr>
          <w:fldChar w:fldCharType="begin"/>
        </w:r>
        <w:r w:rsidR="00424640">
          <w:rPr>
            <w:webHidden/>
          </w:rPr>
          <w:instrText xml:space="preserve"> PAGEREF _Toc418168878 \h </w:instrText>
        </w:r>
        <w:r w:rsidR="00740978">
          <w:rPr>
            <w:webHidden/>
          </w:rPr>
        </w:r>
        <w:r w:rsidR="00740978">
          <w:rPr>
            <w:webHidden/>
          </w:rPr>
          <w:fldChar w:fldCharType="separate"/>
        </w:r>
        <w:r w:rsidR="00107B24">
          <w:rPr>
            <w:webHidden/>
          </w:rPr>
          <w:t>54</w:t>
        </w:r>
        <w:r w:rsidR="00740978">
          <w:rPr>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879" w:history="1">
        <w:r w:rsidR="00424640" w:rsidRPr="00F60307">
          <w:rPr>
            <w:rStyle w:val="Hyperlink"/>
            <w:noProof/>
          </w:rPr>
          <w:t>3.3.4</w:t>
        </w:r>
        <w:r w:rsidR="00424640">
          <w:rPr>
            <w:rFonts w:eastAsiaTheme="minorEastAsia" w:cstheme="minorBidi"/>
            <w:i w:val="0"/>
            <w:iCs w:val="0"/>
            <w:noProof/>
            <w:kern w:val="0"/>
            <w:sz w:val="22"/>
            <w:szCs w:val="22"/>
            <w:lang w:val="es-CL" w:eastAsia="es-CL"/>
          </w:rPr>
          <w:tab/>
        </w:r>
        <w:r w:rsidR="00424640" w:rsidRPr="00F60307">
          <w:rPr>
            <w:rStyle w:val="Hyperlink"/>
            <w:noProof/>
          </w:rPr>
          <w:t>Asia</w:t>
        </w:r>
        <w:r w:rsidR="00424640">
          <w:rPr>
            <w:noProof/>
            <w:webHidden/>
          </w:rPr>
          <w:tab/>
        </w:r>
        <w:r w:rsidR="00740978">
          <w:rPr>
            <w:noProof/>
            <w:webHidden/>
          </w:rPr>
          <w:fldChar w:fldCharType="begin"/>
        </w:r>
        <w:r w:rsidR="00424640">
          <w:rPr>
            <w:noProof/>
            <w:webHidden/>
          </w:rPr>
          <w:instrText xml:space="preserve"> PAGEREF _Toc418168879 \h </w:instrText>
        </w:r>
        <w:r w:rsidR="00740978">
          <w:rPr>
            <w:noProof/>
            <w:webHidden/>
          </w:rPr>
        </w:r>
        <w:r w:rsidR="00740978">
          <w:rPr>
            <w:noProof/>
            <w:webHidden/>
          </w:rPr>
          <w:fldChar w:fldCharType="separate"/>
        </w:r>
        <w:r w:rsidR="00107B24">
          <w:rPr>
            <w:noProof/>
            <w:webHidden/>
          </w:rPr>
          <w:t>55</w:t>
        </w:r>
        <w:r w:rsidR="00740978">
          <w:rPr>
            <w:noProof/>
            <w:webHidden/>
          </w:rPr>
          <w:fldChar w:fldCharType="end"/>
        </w:r>
      </w:hyperlink>
    </w:p>
    <w:p w:rsidR="00424640" w:rsidRDefault="00E26991">
      <w:pPr>
        <w:pStyle w:val="TOC4"/>
        <w:rPr>
          <w:rFonts w:eastAsiaTheme="minorEastAsia" w:cstheme="minorBidi"/>
          <w:kern w:val="0"/>
          <w:sz w:val="22"/>
          <w:szCs w:val="22"/>
          <w:lang w:val="es-CL" w:eastAsia="es-CL"/>
        </w:rPr>
      </w:pPr>
      <w:hyperlink w:anchor="_Toc418168880" w:history="1">
        <w:r w:rsidR="00424640" w:rsidRPr="00F60307">
          <w:rPr>
            <w:rStyle w:val="Hyperlink"/>
            <w:b/>
            <w:i/>
          </w:rPr>
          <w:t>3.3.4.1</w:t>
        </w:r>
        <w:r w:rsidR="00424640">
          <w:rPr>
            <w:rFonts w:eastAsiaTheme="minorEastAsia" w:cstheme="minorBidi"/>
            <w:kern w:val="0"/>
            <w:sz w:val="22"/>
            <w:szCs w:val="22"/>
            <w:lang w:val="es-CL" w:eastAsia="es-CL"/>
          </w:rPr>
          <w:tab/>
        </w:r>
        <w:r w:rsidR="00424640" w:rsidRPr="00F60307">
          <w:rPr>
            <w:rStyle w:val="Hyperlink"/>
            <w:b/>
            <w:i/>
          </w:rPr>
          <w:t>Japón</w:t>
        </w:r>
        <w:r w:rsidR="00424640">
          <w:rPr>
            <w:webHidden/>
          </w:rPr>
          <w:tab/>
        </w:r>
        <w:r w:rsidR="00740978">
          <w:rPr>
            <w:webHidden/>
          </w:rPr>
          <w:fldChar w:fldCharType="begin"/>
        </w:r>
        <w:r w:rsidR="00424640">
          <w:rPr>
            <w:webHidden/>
          </w:rPr>
          <w:instrText xml:space="preserve"> PAGEREF _Toc418168880 \h </w:instrText>
        </w:r>
        <w:r w:rsidR="00740978">
          <w:rPr>
            <w:webHidden/>
          </w:rPr>
        </w:r>
        <w:r w:rsidR="00740978">
          <w:rPr>
            <w:webHidden/>
          </w:rPr>
          <w:fldChar w:fldCharType="separate"/>
        </w:r>
        <w:r w:rsidR="00107B24">
          <w:rPr>
            <w:webHidden/>
          </w:rPr>
          <w:t>55</w:t>
        </w:r>
        <w:r w:rsidR="00740978">
          <w:rPr>
            <w:webHidden/>
          </w:rPr>
          <w:fldChar w:fldCharType="end"/>
        </w:r>
      </w:hyperlink>
    </w:p>
    <w:p w:rsidR="00424640" w:rsidRDefault="00E26991">
      <w:pPr>
        <w:pStyle w:val="TOC4"/>
        <w:rPr>
          <w:rFonts w:eastAsiaTheme="minorEastAsia" w:cstheme="minorBidi"/>
          <w:kern w:val="0"/>
          <w:sz w:val="22"/>
          <w:szCs w:val="22"/>
          <w:lang w:val="es-CL" w:eastAsia="es-CL"/>
        </w:rPr>
      </w:pPr>
      <w:hyperlink w:anchor="_Toc418168881" w:history="1">
        <w:r w:rsidR="00424640" w:rsidRPr="00F60307">
          <w:rPr>
            <w:rStyle w:val="Hyperlink"/>
            <w:b/>
            <w:i/>
          </w:rPr>
          <w:t>3.3.4.2</w:t>
        </w:r>
        <w:r w:rsidR="00424640">
          <w:rPr>
            <w:rFonts w:eastAsiaTheme="minorEastAsia" w:cstheme="minorBidi"/>
            <w:kern w:val="0"/>
            <w:sz w:val="22"/>
            <w:szCs w:val="22"/>
            <w:lang w:val="es-CL" w:eastAsia="es-CL"/>
          </w:rPr>
          <w:tab/>
        </w:r>
        <w:r w:rsidR="00424640" w:rsidRPr="00F60307">
          <w:rPr>
            <w:rStyle w:val="Hyperlink"/>
            <w:b/>
            <w:i/>
          </w:rPr>
          <w:t>Corea</w:t>
        </w:r>
        <w:r w:rsidR="00424640">
          <w:rPr>
            <w:webHidden/>
          </w:rPr>
          <w:tab/>
        </w:r>
        <w:r w:rsidR="00740978">
          <w:rPr>
            <w:webHidden/>
          </w:rPr>
          <w:fldChar w:fldCharType="begin"/>
        </w:r>
        <w:r w:rsidR="00424640">
          <w:rPr>
            <w:webHidden/>
          </w:rPr>
          <w:instrText xml:space="preserve"> PAGEREF _Toc418168881 \h </w:instrText>
        </w:r>
        <w:r w:rsidR="00740978">
          <w:rPr>
            <w:webHidden/>
          </w:rPr>
        </w:r>
        <w:r w:rsidR="00740978">
          <w:rPr>
            <w:webHidden/>
          </w:rPr>
          <w:fldChar w:fldCharType="separate"/>
        </w:r>
        <w:r w:rsidR="00107B24">
          <w:rPr>
            <w:webHidden/>
          </w:rPr>
          <w:t>56</w:t>
        </w:r>
        <w:r w:rsidR="00740978">
          <w:rPr>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882" w:history="1">
        <w:r w:rsidR="00424640" w:rsidRPr="00F60307">
          <w:rPr>
            <w:rStyle w:val="Hyperlink"/>
            <w:noProof/>
          </w:rPr>
          <w:t>3.3.5</w:t>
        </w:r>
        <w:r w:rsidR="00424640">
          <w:rPr>
            <w:rFonts w:eastAsiaTheme="minorEastAsia" w:cstheme="minorBidi"/>
            <w:i w:val="0"/>
            <w:iCs w:val="0"/>
            <w:noProof/>
            <w:kern w:val="0"/>
            <w:sz w:val="22"/>
            <w:szCs w:val="22"/>
            <w:lang w:val="es-CL" w:eastAsia="es-CL"/>
          </w:rPr>
          <w:tab/>
        </w:r>
        <w:r w:rsidR="00424640" w:rsidRPr="00F60307">
          <w:rPr>
            <w:rStyle w:val="Hyperlink"/>
            <w:noProof/>
          </w:rPr>
          <w:t>Oceanía</w:t>
        </w:r>
        <w:r w:rsidR="00424640">
          <w:rPr>
            <w:noProof/>
            <w:webHidden/>
          </w:rPr>
          <w:tab/>
        </w:r>
        <w:r w:rsidR="00740978">
          <w:rPr>
            <w:noProof/>
            <w:webHidden/>
          </w:rPr>
          <w:fldChar w:fldCharType="begin"/>
        </w:r>
        <w:r w:rsidR="00424640">
          <w:rPr>
            <w:noProof/>
            <w:webHidden/>
          </w:rPr>
          <w:instrText xml:space="preserve"> PAGEREF _Toc418168882 \h </w:instrText>
        </w:r>
        <w:r w:rsidR="00740978">
          <w:rPr>
            <w:noProof/>
            <w:webHidden/>
          </w:rPr>
        </w:r>
        <w:r w:rsidR="00740978">
          <w:rPr>
            <w:noProof/>
            <w:webHidden/>
          </w:rPr>
          <w:fldChar w:fldCharType="separate"/>
        </w:r>
        <w:r w:rsidR="00107B24">
          <w:rPr>
            <w:noProof/>
            <w:webHidden/>
          </w:rPr>
          <w:t>57</w:t>
        </w:r>
        <w:r w:rsidR="00740978">
          <w:rPr>
            <w:noProof/>
            <w:webHidden/>
          </w:rPr>
          <w:fldChar w:fldCharType="end"/>
        </w:r>
      </w:hyperlink>
    </w:p>
    <w:p w:rsidR="00424640" w:rsidRDefault="00E26991">
      <w:pPr>
        <w:pStyle w:val="TOC4"/>
        <w:rPr>
          <w:rFonts w:eastAsiaTheme="minorEastAsia" w:cstheme="minorBidi"/>
          <w:kern w:val="0"/>
          <w:sz w:val="22"/>
          <w:szCs w:val="22"/>
          <w:lang w:val="es-CL" w:eastAsia="es-CL"/>
        </w:rPr>
      </w:pPr>
      <w:hyperlink w:anchor="_Toc418168883" w:history="1">
        <w:r w:rsidR="00424640" w:rsidRPr="00F60307">
          <w:rPr>
            <w:rStyle w:val="Hyperlink"/>
            <w:b/>
            <w:i/>
          </w:rPr>
          <w:t>3.3.5.1</w:t>
        </w:r>
        <w:r w:rsidR="00424640">
          <w:rPr>
            <w:rFonts w:eastAsiaTheme="minorEastAsia" w:cstheme="minorBidi"/>
            <w:kern w:val="0"/>
            <w:sz w:val="22"/>
            <w:szCs w:val="22"/>
            <w:lang w:val="es-CL" w:eastAsia="es-CL"/>
          </w:rPr>
          <w:tab/>
        </w:r>
        <w:r w:rsidR="00424640" w:rsidRPr="00F60307">
          <w:rPr>
            <w:rStyle w:val="Hyperlink"/>
            <w:b/>
            <w:i/>
          </w:rPr>
          <w:t>Nueva</w:t>
        </w:r>
        <w:r w:rsidR="00424640" w:rsidRPr="00F60307">
          <w:rPr>
            <w:rStyle w:val="Hyperlink"/>
            <w:b/>
          </w:rPr>
          <w:t xml:space="preserve"> </w:t>
        </w:r>
        <w:r w:rsidR="00424640" w:rsidRPr="00F60307">
          <w:rPr>
            <w:rStyle w:val="Hyperlink"/>
            <w:b/>
            <w:i/>
          </w:rPr>
          <w:t>Zelandia</w:t>
        </w:r>
        <w:r w:rsidR="00424640">
          <w:rPr>
            <w:webHidden/>
          </w:rPr>
          <w:tab/>
        </w:r>
        <w:r w:rsidR="00740978">
          <w:rPr>
            <w:webHidden/>
          </w:rPr>
          <w:fldChar w:fldCharType="begin"/>
        </w:r>
        <w:r w:rsidR="00424640">
          <w:rPr>
            <w:webHidden/>
          </w:rPr>
          <w:instrText xml:space="preserve"> PAGEREF _Toc418168883 \h </w:instrText>
        </w:r>
        <w:r w:rsidR="00740978">
          <w:rPr>
            <w:webHidden/>
          </w:rPr>
        </w:r>
        <w:r w:rsidR="00740978">
          <w:rPr>
            <w:webHidden/>
          </w:rPr>
          <w:fldChar w:fldCharType="separate"/>
        </w:r>
        <w:r w:rsidR="00107B24">
          <w:rPr>
            <w:webHidden/>
          </w:rPr>
          <w:t>57</w:t>
        </w:r>
        <w:r w:rsidR="00740978">
          <w:rPr>
            <w:webHidden/>
          </w:rPr>
          <w:fldChar w:fldCharType="end"/>
        </w:r>
      </w:hyperlink>
    </w:p>
    <w:p w:rsidR="00424640" w:rsidRDefault="00E26991">
      <w:pPr>
        <w:pStyle w:val="TOC2"/>
        <w:tabs>
          <w:tab w:val="left" w:pos="920"/>
          <w:tab w:val="right" w:leader="dot" w:pos="9913"/>
        </w:tabs>
        <w:rPr>
          <w:rFonts w:eastAsiaTheme="minorEastAsia" w:cstheme="minorBidi"/>
          <w:smallCaps w:val="0"/>
          <w:noProof/>
          <w:kern w:val="0"/>
          <w:sz w:val="22"/>
          <w:szCs w:val="22"/>
          <w:lang w:val="es-CL" w:eastAsia="es-CL"/>
        </w:rPr>
      </w:pPr>
      <w:hyperlink w:anchor="_Toc418168884" w:history="1">
        <w:r w:rsidR="00424640" w:rsidRPr="00F60307">
          <w:rPr>
            <w:rStyle w:val="Hyperlink"/>
            <w:noProof/>
          </w:rPr>
          <w:t>3.4</w:t>
        </w:r>
        <w:r w:rsidR="00424640">
          <w:rPr>
            <w:rFonts w:eastAsiaTheme="minorEastAsia" w:cstheme="minorBidi"/>
            <w:smallCaps w:val="0"/>
            <w:noProof/>
            <w:kern w:val="0"/>
            <w:sz w:val="22"/>
            <w:szCs w:val="22"/>
            <w:lang w:val="es-CL" w:eastAsia="es-CL"/>
          </w:rPr>
          <w:tab/>
        </w:r>
        <w:r w:rsidR="00424640" w:rsidRPr="00F60307">
          <w:rPr>
            <w:rStyle w:val="Hyperlink"/>
            <w:noProof/>
          </w:rPr>
          <w:t>Posición de la FAO con respecto al sistema GHS</w:t>
        </w:r>
        <w:r w:rsidR="00424640">
          <w:rPr>
            <w:noProof/>
            <w:webHidden/>
          </w:rPr>
          <w:tab/>
        </w:r>
        <w:r w:rsidR="00740978">
          <w:rPr>
            <w:noProof/>
            <w:webHidden/>
          </w:rPr>
          <w:fldChar w:fldCharType="begin"/>
        </w:r>
        <w:r w:rsidR="00424640">
          <w:rPr>
            <w:noProof/>
            <w:webHidden/>
          </w:rPr>
          <w:instrText xml:space="preserve"> PAGEREF _Toc418168884 \h </w:instrText>
        </w:r>
        <w:r w:rsidR="00740978">
          <w:rPr>
            <w:noProof/>
            <w:webHidden/>
          </w:rPr>
        </w:r>
        <w:r w:rsidR="00740978">
          <w:rPr>
            <w:noProof/>
            <w:webHidden/>
          </w:rPr>
          <w:fldChar w:fldCharType="separate"/>
        </w:r>
        <w:r w:rsidR="00107B24">
          <w:rPr>
            <w:noProof/>
            <w:webHidden/>
          </w:rPr>
          <w:t>59</w:t>
        </w:r>
        <w:r w:rsidR="00740978">
          <w:rPr>
            <w:noProof/>
            <w:webHidden/>
          </w:rPr>
          <w:fldChar w:fldCharType="end"/>
        </w:r>
      </w:hyperlink>
    </w:p>
    <w:p w:rsidR="00424640" w:rsidRDefault="00E26991">
      <w:pPr>
        <w:pStyle w:val="TOC1"/>
        <w:rPr>
          <w:rFonts w:eastAsiaTheme="minorEastAsia" w:cstheme="minorBidi"/>
          <w:b w:val="0"/>
          <w:bCs w:val="0"/>
          <w:caps w:val="0"/>
          <w:noProof/>
          <w:kern w:val="0"/>
          <w:sz w:val="22"/>
          <w:szCs w:val="22"/>
          <w:lang w:val="es-CL" w:eastAsia="es-CL"/>
        </w:rPr>
      </w:pPr>
      <w:hyperlink w:anchor="_Toc418168885" w:history="1">
        <w:r w:rsidR="00424640" w:rsidRPr="00F60307">
          <w:rPr>
            <w:rStyle w:val="Hyperlink"/>
            <w:noProof/>
            <w:lang w:val="es-CL"/>
          </w:rPr>
          <w:t>4.</w:t>
        </w:r>
        <w:r w:rsidR="00424640">
          <w:rPr>
            <w:rFonts w:eastAsiaTheme="minorEastAsia" w:cstheme="minorBidi"/>
            <w:b w:val="0"/>
            <w:bCs w:val="0"/>
            <w:caps w:val="0"/>
            <w:noProof/>
            <w:kern w:val="0"/>
            <w:sz w:val="22"/>
            <w:szCs w:val="22"/>
            <w:lang w:val="es-CL" w:eastAsia="es-CL"/>
          </w:rPr>
          <w:tab/>
        </w:r>
        <w:r w:rsidR="00424640" w:rsidRPr="00F60307">
          <w:rPr>
            <w:rStyle w:val="Hyperlink"/>
            <w:noProof/>
          </w:rPr>
          <w:t>DIAGNÓSTICO TÉCNICO DE LA SITUACIÓN ACTUAL</w:t>
        </w:r>
        <w:r w:rsidR="00424640">
          <w:rPr>
            <w:noProof/>
            <w:webHidden/>
          </w:rPr>
          <w:tab/>
        </w:r>
        <w:r w:rsidR="00740978">
          <w:rPr>
            <w:noProof/>
            <w:webHidden/>
          </w:rPr>
          <w:fldChar w:fldCharType="begin"/>
        </w:r>
        <w:r w:rsidR="00424640">
          <w:rPr>
            <w:noProof/>
            <w:webHidden/>
          </w:rPr>
          <w:instrText xml:space="preserve"> PAGEREF _Toc418168885 \h </w:instrText>
        </w:r>
        <w:r w:rsidR="00740978">
          <w:rPr>
            <w:noProof/>
            <w:webHidden/>
          </w:rPr>
        </w:r>
        <w:r w:rsidR="00740978">
          <w:rPr>
            <w:noProof/>
            <w:webHidden/>
          </w:rPr>
          <w:fldChar w:fldCharType="separate"/>
        </w:r>
        <w:r w:rsidR="00107B24">
          <w:rPr>
            <w:noProof/>
            <w:webHidden/>
          </w:rPr>
          <w:t>62</w:t>
        </w:r>
        <w:r w:rsidR="00740978">
          <w:rPr>
            <w:noProof/>
            <w:webHidden/>
          </w:rPr>
          <w:fldChar w:fldCharType="end"/>
        </w:r>
      </w:hyperlink>
    </w:p>
    <w:p w:rsidR="00424640" w:rsidRDefault="00E26991">
      <w:pPr>
        <w:pStyle w:val="TOC2"/>
        <w:tabs>
          <w:tab w:val="left" w:pos="920"/>
          <w:tab w:val="right" w:leader="dot" w:pos="9913"/>
        </w:tabs>
        <w:rPr>
          <w:rFonts w:eastAsiaTheme="minorEastAsia" w:cstheme="minorBidi"/>
          <w:smallCaps w:val="0"/>
          <w:noProof/>
          <w:kern w:val="0"/>
          <w:sz w:val="22"/>
          <w:szCs w:val="22"/>
          <w:lang w:val="es-CL" w:eastAsia="es-CL"/>
        </w:rPr>
      </w:pPr>
      <w:hyperlink w:anchor="_Toc418168886" w:history="1">
        <w:r w:rsidR="00424640" w:rsidRPr="00F60307">
          <w:rPr>
            <w:rStyle w:val="Hyperlink"/>
            <w:noProof/>
            <w:lang w:val="es-CL"/>
          </w:rPr>
          <w:t>4.1</w:t>
        </w:r>
        <w:r w:rsidR="00424640">
          <w:rPr>
            <w:rFonts w:eastAsiaTheme="minorEastAsia" w:cstheme="minorBidi"/>
            <w:smallCaps w:val="0"/>
            <w:noProof/>
            <w:kern w:val="0"/>
            <w:sz w:val="22"/>
            <w:szCs w:val="22"/>
            <w:lang w:val="es-CL" w:eastAsia="es-CL"/>
          </w:rPr>
          <w:tab/>
        </w:r>
        <w:r w:rsidR="00424640" w:rsidRPr="00F60307">
          <w:rPr>
            <w:rStyle w:val="Hyperlink"/>
            <w:noProof/>
            <w:lang w:val="es-CL"/>
          </w:rPr>
          <w:t>Identificación de brechas técnicas</w:t>
        </w:r>
        <w:r w:rsidR="00424640">
          <w:rPr>
            <w:noProof/>
            <w:webHidden/>
          </w:rPr>
          <w:tab/>
        </w:r>
        <w:r w:rsidR="00740978">
          <w:rPr>
            <w:noProof/>
            <w:webHidden/>
          </w:rPr>
          <w:fldChar w:fldCharType="begin"/>
        </w:r>
        <w:r w:rsidR="00424640">
          <w:rPr>
            <w:noProof/>
            <w:webHidden/>
          </w:rPr>
          <w:instrText xml:space="preserve"> PAGEREF _Toc418168886 \h </w:instrText>
        </w:r>
        <w:r w:rsidR="00740978">
          <w:rPr>
            <w:noProof/>
            <w:webHidden/>
          </w:rPr>
        </w:r>
        <w:r w:rsidR="00740978">
          <w:rPr>
            <w:noProof/>
            <w:webHidden/>
          </w:rPr>
          <w:fldChar w:fldCharType="separate"/>
        </w:r>
        <w:r w:rsidR="00107B24">
          <w:rPr>
            <w:noProof/>
            <w:webHidden/>
          </w:rPr>
          <w:t>62</w:t>
        </w:r>
        <w:r w:rsidR="00740978">
          <w:rPr>
            <w:noProof/>
            <w:webHidden/>
          </w:rPr>
          <w:fldChar w:fldCharType="end"/>
        </w:r>
      </w:hyperlink>
    </w:p>
    <w:p w:rsidR="00424640" w:rsidRDefault="00E26991">
      <w:pPr>
        <w:pStyle w:val="TOC2"/>
        <w:tabs>
          <w:tab w:val="left" w:pos="920"/>
          <w:tab w:val="right" w:leader="dot" w:pos="9913"/>
        </w:tabs>
        <w:rPr>
          <w:rFonts w:eastAsiaTheme="minorEastAsia" w:cstheme="minorBidi"/>
          <w:smallCaps w:val="0"/>
          <w:noProof/>
          <w:kern w:val="0"/>
          <w:sz w:val="22"/>
          <w:szCs w:val="22"/>
          <w:lang w:val="es-CL" w:eastAsia="es-CL"/>
        </w:rPr>
      </w:pPr>
      <w:hyperlink w:anchor="_Toc418168887" w:history="1">
        <w:r w:rsidR="00424640" w:rsidRPr="00F60307">
          <w:rPr>
            <w:rStyle w:val="Hyperlink"/>
            <w:noProof/>
            <w:lang w:val="es-CL"/>
          </w:rPr>
          <w:t>4.2</w:t>
        </w:r>
        <w:r w:rsidR="00424640">
          <w:rPr>
            <w:rFonts w:eastAsiaTheme="minorEastAsia" w:cstheme="minorBidi"/>
            <w:smallCaps w:val="0"/>
            <w:noProof/>
            <w:kern w:val="0"/>
            <w:sz w:val="22"/>
            <w:szCs w:val="22"/>
            <w:lang w:val="es-CL" w:eastAsia="es-CL"/>
          </w:rPr>
          <w:tab/>
        </w:r>
        <w:r w:rsidR="00424640" w:rsidRPr="00F60307">
          <w:rPr>
            <w:rStyle w:val="Hyperlink"/>
            <w:noProof/>
            <w:lang w:val="es-CL"/>
          </w:rPr>
          <w:t>Propuesta para resolver brechas técnicas</w:t>
        </w:r>
        <w:r w:rsidR="00424640">
          <w:rPr>
            <w:noProof/>
            <w:webHidden/>
          </w:rPr>
          <w:tab/>
        </w:r>
        <w:r w:rsidR="00740978">
          <w:rPr>
            <w:noProof/>
            <w:webHidden/>
          </w:rPr>
          <w:fldChar w:fldCharType="begin"/>
        </w:r>
        <w:r w:rsidR="00424640">
          <w:rPr>
            <w:noProof/>
            <w:webHidden/>
          </w:rPr>
          <w:instrText xml:space="preserve"> PAGEREF _Toc418168887 \h </w:instrText>
        </w:r>
        <w:r w:rsidR="00740978">
          <w:rPr>
            <w:noProof/>
            <w:webHidden/>
          </w:rPr>
        </w:r>
        <w:r w:rsidR="00740978">
          <w:rPr>
            <w:noProof/>
            <w:webHidden/>
          </w:rPr>
          <w:fldChar w:fldCharType="separate"/>
        </w:r>
        <w:r w:rsidR="00107B24">
          <w:rPr>
            <w:b/>
            <w:bCs/>
            <w:noProof/>
            <w:webHidden/>
            <w:lang w:val="es-ES"/>
          </w:rPr>
          <w:t>¡Error! Marcador no definido.</w:t>
        </w:r>
        <w:r w:rsidR="00740978">
          <w:rPr>
            <w:noProof/>
            <w:webHidden/>
          </w:rPr>
          <w:fldChar w:fldCharType="end"/>
        </w:r>
      </w:hyperlink>
    </w:p>
    <w:p w:rsidR="00424640" w:rsidRDefault="00E26991">
      <w:pPr>
        <w:pStyle w:val="TOC1"/>
        <w:rPr>
          <w:rFonts w:eastAsiaTheme="minorEastAsia" w:cstheme="minorBidi"/>
          <w:b w:val="0"/>
          <w:bCs w:val="0"/>
          <w:caps w:val="0"/>
          <w:noProof/>
          <w:kern w:val="0"/>
          <w:sz w:val="22"/>
          <w:szCs w:val="22"/>
          <w:lang w:val="es-CL" w:eastAsia="es-CL"/>
        </w:rPr>
      </w:pPr>
      <w:hyperlink w:anchor="_Toc418168888" w:history="1">
        <w:r w:rsidR="00424640" w:rsidRPr="00F60307">
          <w:rPr>
            <w:rStyle w:val="Hyperlink"/>
            <w:noProof/>
            <w:lang w:val="es-CL"/>
          </w:rPr>
          <w:t>5.</w:t>
        </w:r>
        <w:r w:rsidR="00424640">
          <w:rPr>
            <w:rFonts w:eastAsiaTheme="minorEastAsia" w:cstheme="minorBidi"/>
            <w:b w:val="0"/>
            <w:bCs w:val="0"/>
            <w:caps w:val="0"/>
            <w:noProof/>
            <w:kern w:val="0"/>
            <w:sz w:val="22"/>
            <w:szCs w:val="22"/>
            <w:lang w:val="es-CL" w:eastAsia="es-CL"/>
          </w:rPr>
          <w:tab/>
        </w:r>
        <w:r w:rsidR="00424640" w:rsidRPr="00F60307">
          <w:rPr>
            <w:rStyle w:val="Hyperlink"/>
            <w:noProof/>
            <w:lang w:val="es-CL"/>
          </w:rPr>
          <w:t>A</w:t>
        </w:r>
        <w:r w:rsidR="00424640" w:rsidRPr="00F60307">
          <w:rPr>
            <w:rStyle w:val="Hyperlink"/>
            <w:noProof/>
          </w:rPr>
          <w:t>CTIVIDADES DESARROLLADAS PARA LA FORMULACIÓN DE LA ESTRATEGIA DE IMPLEMENTACIÓN</w:t>
        </w:r>
        <w:r w:rsidR="00424640">
          <w:rPr>
            <w:noProof/>
            <w:webHidden/>
          </w:rPr>
          <w:tab/>
        </w:r>
        <w:r w:rsidR="00740978">
          <w:rPr>
            <w:noProof/>
            <w:webHidden/>
          </w:rPr>
          <w:fldChar w:fldCharType="begin"/>
        </w:r>
        <w:r w:rsidR="00424640">
          <w:rPr>
            <w:noProof/>
            <w:webHidden/>
          </w:rPr>
          <w:instrText xml:space="preserve"> PAGEREF _Toc418168888 \h </w:instrText>
        </w:r>
        <w:r w:rsidR="00740978">
          <w:rPr>
            <w:noProof/>
            <w:webHidden/>
          </w:rPr>
        </w:r>
        <w:r w:rsidR="00740978">
          <w:rPr>
            <w:noProof/>
            <w:webHidden/>
          </w:rPr>
          <w:fldChar w:fldCharType="separate"/>
        </w:r>
        <w:r w:rsidR="00107B24">
          <w:rPr>
            <w:noProof/>
            <w:webHidden/>
          </w:rPr>
          <w:t>68</w:t>
        </w:r>
        <w:r w:rsidR="00740978">
          <w:rPr>
            <w:noProof/>
            <w:webHidden/>
          </w:rPr>
          <w:fldChar w:fldCharType="end"/>
        </w:r>
      </w:hyperlink>
    </w:p>
    <w:p w:rsidR="00424640" w:rsidRDefault="00E26991">
      <w:pPr>
        <w:pStyle w:val="TOC2"/>
        <w:tabs>
          <w:tab w:val="left" w:pos="920"/>
          <w:tab w:val="right" w:leader="dot" w:pos="9913"/>
        </w:tabs>
        <w:rPr>
          <w:rFonts w:eastAsiaTheme="minorEastAsia" w:cstheme="minorBidi"/>
          <w:smallCaps w:val="0"/>
          <w:noProof/>
          <w:kern w:val="0"/>
          <w:sz w:val="22"/>
          <w:szCs w:val="22"/>
          <w:lang w:val="es-CL" w:eastAsia="es-CL"/>
        </w:rPr>
      </w:pPr>
      <w:hyperlink w:anchor="_Toc418168889" w:history="1">
        <w:r w:rsidR="00424640" w:rsidRPr="00F60307">
          <w:rPr>
            <w:rStyle w:val="Hyperlink"/>
            <w:noProof/>
            <w:lang w:val="es-CL"/>
          </w:rPr>
          <w:t>5.1</w:t>
        </w:r>
        <w:r w:rsidR="00424640">
          <w:rPr>
            <w:rFonts w:eastAsiaTheme="minorEastAsia" w:cstheme="minorBidi"/>
            <w:smallCaps w:val="0"/>
            <w:noProof/>
            <w:kern w:val="0"/>
            <w:sz w:val="22"/>
            <w:szCs w:val="22"/>
            <w:lang w:val="es-CL" w:eastAsia="es-CL"/>
          </w:rPr>
          <w:tab/>
        </w:r>
        <w:r w:rsidR="00424640" w:rsidRPr="00F60307">
          <w:rPr>
            <w:rStyle w:val="Hyperlink"/>
            <w:noProof/>
            <w:lang w:val="es-CL"/>
          </w:rPr>
          <w:t>Actualización de información del Perfil Químico Nacional</w:t>
        </w:r>
        <w:r w:rsidR="00424640">
          <w:rPr>
            <w:noProof/>
            <w:webHidden/>
          </w:rPr>
          <w:tab/>
        </w:r>
        <w:r w:rsidR="00740978">
          <w:rPr>
            <w:noProof/>
            <w:webHidden/>
          </w:rPr>
          <w:fldChar w:fldCharType="begin"/>
        </w:r>
        <w:r w:rsidR="00424640">
          <w:rPr>
            <w:noProof/>
            <w:webHidden/>
          </w:rPr>
          <w:instrText xml:space="preserve"> PAGEREF _Toc418168889 \h </w:instrText>
        </w:r>
        <w:r w:rsidR="00740978">
          <w:rPr>
            <w:noProof/>
            <w:webHidden/>
          </w:rPr>
        </w:r>
        <w:r w:rsidR="00740978">
          <w:rPr>
            <w:noProof/>
            <w:webHidden/>
          </w:rPr>
          <w:fldChar w:fldCharType="separate"/>
        </w:r>
        <w:r w:rsidR="00107B24">
          <w:rPr>
            <w:noProof/>
            <w:webHidden/>
          </w:rPr>
          <w:t>68</w:t>
        </w:r>
        <w:r w:rsidR="00740978">
          <w:rPr>
            <w:noProof/>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890" w:history="1">
        <w:r w:rsidR="00424640" w:rsidRPr="00F60307">
          <w:rPr>
            <w:rStyle w:val="Hyperlink"/>
            <w:noProof/>
            <w:lang w:val="es-CL"/>
          </w:rPr>
          <w:t>5.1.1</w:t>
        </w:r>
        <w:r w:rsidR="00424640">
          <w:rPr>
            <w:rFonts w:eastAsiaTheme="minorEastAsia" w:cstheme="minorBidi"/>
            <w:i w:val="0"/>
            <w:iCs w:val="0"/>
            <w:noProof/>
            <w:kern w:val="0"/>
            <w:sz w:val="22"/>
            <w:szCs w:val="22"/>
            <w:lang w:val="es-CL" w:eastAsia="es-CL"/>
          </w:rPr>
          <w:tab/>
        </w:r>
        <w:r w:rsidR="00424640" w:rsidRPr="00F60307">
          <w:rPr>
            <w:rStyle w:val="Hyperlink"/>
            <w:noProof/>
            <w:lang w:val="es-CL"/>
          </w:rPr>
          <w:t>Producción, Importación, Exportación, Almacenamiento, Transporte, Uso y Disposición de Sustancias Químicas</w:t>
        </w:r>
        <w:r w:rsidR="00424640">
          <w:rPr>
            <w:noProof/>
            <w:webHidden/>
          </w:rPr>
          <w:tab/>
        </w:r>
        <w:r w:rsidR="00740978">
          <w:rPr>
            <w:noProof/>
            <w:webHidden/>
          </w:rPr>
          <w:fldChar w:fldCharType="begin"/>
        </w:r>
        <w:r w:rsidR="00424640">
          <w:rPr>
            <w:noProof/>
            <w:webHidden/>
          </w:rPr>
          <w:instrText xml:space="preserve"> PAGEREF _Toc418168890 \h </w:instrText>
        </w:r>
        <w:r w:rsidR="00740978">
          <w:rPr>
            <w:noProof/>
            <w:webHidden/>
          </w:rPr>
        </w:r>
        <w:r w:rsidR="00740978">
          <w:rPr>
            <w:noProof/>
            <w:webHidden/>
          </w:rPr>
          <w:fldChar w:fldCharType="separate"/>
        </w:r>
        <w:r w:rsidR="00107B24">
          <w:rPr>
            <w:noProof/>
            <w:webHidden/>
          </w:rPr>
          <w:t>69</w:t>
        </w:r>
        <w:r w:rsidR="00740978">
          <w:rPr>
            <w:noProof/>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891" w:history="1">
        <w:r w:rsidR="00424640" w:rsidRPr="00F60307">
          <w:rPr>
            <w:rStyle w:val="Hyperlink"/>
            <w:rFonts w:eastAsia="Times New Roman"/>
            <w:noProof/>
            <w:lang w:val="es-ES" w:eastAsia="es-ES"/>
          </w:rPr>
          <w:t>5.1.2</w:t>
        </w:r>
        <w:r w:rsidR="00424640">
          <w:rPr>
            <w:rFonts w:eastAsiaTheme="minorEastAsia" w:cstheme="minorBidi"/>
            <w:i w:val="0"/>
            <w:iCs w:val="0"/>
            <w:noProof/>
            <w:kern w:val="0"/>
            <w:sz w:val="22"/>
            <w:szCs w:val="22"/>
            <w:lang w:val="es-CL" w:eastAsia="es-CL"/>
          </w:rPr>
          <w:tab/>
        </w:r>
        <w:r w:rsidR="00424640" w:rsidRPr="00F60307">
          <w:rPr>
            <w:rStyle w:val="Hyperlink"/>
            <w:rFonts w:eastAsia="Times New Roman"/>
            <w:noProof/>
            <w:lang w:val="es-ES" w:eastAsia="es-ES"/>
          </w:rPr>
          <w:t xml:space="preserve">Preocupaciones Prioritarias Relacionadas con la Producción, Importación, Exportación </w:t>
        </w:r>
        <w:r w:rsidR="00424640" w:rsidRPr="00F60307">
          <w:rPr>
            <w:rStyle w:val="Hyperlink"/>
            <w:rFonts w:eastAsia="Times New Roman"/>
            <w:noProof/>
            <w:lang w:eastAsia="es-ES"/>
          </w:rPr>
          <w:t xml:space="preserve">y Uso </w:t>
        </w:r>
        <w:r w:rsidR="00424640" w:rsidRPr="00F60307">
          <w:rPr>
            <w:rStyle w:val="Hyperlink"/>
            <w:rFonts w:eastAsia="Times New Roman"/>
            <w:noProof/>
            <w:lang w:val="es-ES" w:eastAsia="es-ES"/>
          </w:rPr>
          <w:t>de Sustancias Químicas</w:t>
        </w:r>
        <w:r w:rsidR="00424640">
          <w:rPr>
            <w:noProof/>
            <w:webHidden/>
          </w:rPr>
          <w:tab/>
        </w:r>
        <w:r w:rsidR="00740978">
          <w:rPr>
            <w:noProof/>
            <w:webHidden/>
          </w:rPr>
          <w:fldChar w:fldCharType="begin"/>
        </w:r>
        <w:r w:rsidR="00424640">
          <w:rPr>
            <w:noProof/>
            <w:webHidden/>
          </w:rPr>
          <w:instrText xml:space="preserve"> PAGEREF _Toc418168891 \h </w:instrText>
        </w:r>
        <w:r w:rsidR="00740978">
          <w:rPr>
            <w:noProof/>
            <w:webHidden/>
          </w:rPr>
        </w:r>
        <w:r w:rsidR="00740978">
          <w:rPr>
            <w:noProof/>
            <w:webHidden/>
          </w:rPr>
          <w:fldChar w:fldCharType="separate"/>
        </w:r>
        <w:r w:rsidR="00107B24">
          <w:rPr>
            <w:noProof/>
            <w:webHidden/>
          </w:rPr>
          <w:t>73</w:t>
        </w:r>
        <w:r w:rsidR="00740978">
          <w:rPr>
            <w:noProof/>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892" w:history="1">
        <w:r w:rsidR="00424640" w:rsidRPr="00F60307">
          <w:rPr>
            <w:rStyle w:val="Hyperlink"/>
            <w:rFonts w:eastAsia="Times New Roman"/>
            <w:noProof/>
            <w:lang w:val="es-ES" w:eastAsia="es-ES"/>
          </w:rPr>
          <w:t>5.1.3</w:t>
        </w:r>
        <w:r w:rsidR="00424640">
          <w:rPr>
            <w:rFonts w:eastAsiaTheme="minorEastAsia" w:cstheme="minorBidi"/>
            <w:i w:val="0"/>
            <w:iCs w:val="0"/>
            <w:noProof/>
            <w:kern w:val="0"/>
            <w:sz w:val="22"/>
            <w:szCs w:val="22"/>
            <w:lang w:val="es-CL" w:eastAsia="es-CL"/>
          </w:rPr>
          <w:tab/>
        </w:r>
        <w:r w:rsidR="00424640" w:rsidRPr="00F60307">
          <w:rPr>
            <w:rStyle w:val="Hyperlink"/>
            <w:rFonts w:eastAsia="Times New Roman"/>
            <w:noProof/>
            <w:lang w:val="es-ES" w:eastAsia="es-ES"/>
          </w:rPr>
          <w:t>Infraestructura Técnica</w:t>
        </w:r>
        <w:r w:rsidR="00424640">
          <w:rPr>
            <w:noProof/>
            <w:webHidden/>
          </w:rPr>
          <w:tab/>
        </w:r>
        <w:r w:rsidR="00740978">
          <w:rPr>
            <w:noProof/>
            <w:webHidden/>
          </w:rPr>
          <w:fldChar w:fldCharType="begin"/>
        </w:r>
        <w:r w:rsidR="00424640">
          <w:rPr>
            <w:noProof/>
            <w:webHidden/>
          </w:rPr>
          <w:instrText xml:space="preserve"> PAGEREF _Toc418168892 \h </w:instrText>
        </w:r>
        <w:r w:rsidR="00740978">
          <w:rPr>
            <w:noProof/>
            <w:webHidden/>
          </w:rPr>
        </w:r>
        <w:r w:rsidR="00740978">
          <w:rPr>
            <w:noProof/>
            <w:webHidden/>
          </w:rPr>
          <w:fldChar w:fldCharType="separate"/>
        </w:r>
        <w:r w:rsidR="00107B24">
          <w:rPr>
            <w:noProof/>
            <w:webHidden/>
          </w:rPr>
          <w:t>75</w:t>
        </w:r>
        <w:r w:rsidR="00740978">
          <w:rPr>
            <w:noProof/>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893" w:history="1">
        <w:r w:rsidR="00424640" w:rsidRPr="00F60307">
          <w:rPr>
            <w:rStyle w:val="Hyperlink"/>
            <w:rFonts w:eastAsia="Times New Roman"/>
            <w:noProof/>
            <w:lang w:val="es-ES" w:eastAsia="es-ES"/>
          </w:rPr>
          <w:t>5.1.4</w:t>
        </w:r>
        <w:r w:rsidR="00424640">
          <w:rPr>
            <w:rFonts w:eastAsiaTheme="minorEastAsia" w:cstheme="minorBidi"/>
            <w:i w:val="0"/>
            <w:iCs w:val="0"/>
            <w:noProof/>
            <w:kern w:val="0"/>
            <w:sz w:val="22"/>
            <w:szCs w:val="22"/>
            <w:lang w:val="es-CL" w:eastAsia="es-CL"/>
          </w:rPr>
          <w:tab/>
        </w:r>
        <w:r w:rsidR="00424640" w:rsidRPr="00F60307">
          <w:rPr>
            <w:rStyle w:val="Hyperlink"/>
            <w:rFonts w:eastAsia="Times New Roman"/>
            <w:noProof/>
            <w:lang w:val="es-ES" w:eastAsia="es-ES"/>
          </w:rPr>
          <w:t>Concientización / Entendimiento de los Trabajadores y el Público; Capacitación y Educación de Grupos Objetivo y Profesionales</w:t>
        </w:r>
        <w:r w:rsidR="00424640">
          <w:rPr>
            <w:noProof/>
            <w:webHidden/>
          </w:rPr>
          <w:tab/>
        </w:r>
        <w:r w:rsidR="00740978">
          <w:rPr>
            <w:noProof/>
            <w:webHidden/>
          </w:rPr>
          <w:fldChar w:fldCharType="begin"/>
        </w:r>
        <w:r w:rsidR="00424640">
          <w:rPr>
            <w:noProof/>
            <w:webHidden/>
          </w:rPr>
          <w:instrText xml:space="preserve"> PAGEREF _Toc418168893 \h </w:instrText>
        </w:r>
        <w:r w:rsidR="00740978">
          <w:rPr>
            <w:noProof/>
            <w:webHidden/>
          </w:rPr>
        </w:r>
        <w:r w:rsidR="00740978">
          <w:rPr>
            <w:noProof/>
            <w:webHidden/>
          </w:rPr>
          <w:fldChar w:fldCharType="separate"/>
        </w:r>
        <w:r w:rsidR="00107B24">
          <w:rPr>
            <w:noProof/>
            <w:webHidden/>
          </w:rPr>
          <w:t>76</w:t>
        </w:r>
        <w:r w:rsidR="00740978">
          <w:rPr>
            <w:noProof/>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894" w:history="1">
        <w:r w:rsidR="00424640" w:rsidRPr="00F60307">
          <w:rPr>
            <w:rStyle w:val="Hyperlink"/>
            <w:rFonts w:eastAsia="Times New Roman"/>
            <w:noProof/>
            <w:lang w:val="es-ES" w:eastAsia="es-ES"/>
          </w:rPr>
          <w:t>5.1.5</w:t>
        </w:r>
        <w:r w:rsidR="00424640">
          <w:rPr>
            <w:rFonts w:eastAsiaTheme="minorEastAsia" w:cstheme="minorBidi"/>
            <w:i w:val="0"/>
            <w:iCs w:val="0"/>
            <w:noProof/>
            <w:kern w:val="0"/>
            <w:sz w:val="22"/>
            <w:szCs w:val="22"/>
            <w:lang w:val="es-CL" w:eastAsia="es-CL"/>
          </w:rPr>
          <w:tab/>
        </w:r>
        <w:r w:rsidR="00424640" w:rsidRPr="00F60307">
          <w:rPr>
            <w:rStyle w:val="Hyperlink"/>
            <w:rFonts w:eastAsia="Times New Roman"/>
            <w:noProof/>
            <w:lang w:val="es-ES" w:eastAsia="es-ES"/>
          </w:rPr>
          <w:t>Recursos necesarios y disponibles para la Gestión de Sustancias Químicas</w:t>
        </w:r>
        <w:r w:rsidR="00424640">
          <w:rPr>
            <w:noProof/>
            <w:webHidden/>
          </w:rPr>
          <w:tab/>
        </w:r>
        <w:r w:rsidR="00740978">
          <w:rPr>
            <w:noProof/>
            <w:webHidden/>
          </w:rPr>
          <w:fldChar w:fldCharType="begin"/>
        </w:r>
        <w:r w:rsidR="00424640">
          <w:rPr>
            <w:noProof/>
            <w:webHidden/>
          </w:rPr>
          <w:instrText xml:space="preserve"> PAGEREF _Toc418168894 \h </w:instrText>
        </w:r>
        <w:r w:rsidR="00740978">
          <w:rPr>
            <w:noProof/>
            <w:webHidden/>
          </w:rPr>
        </w:r>
        <w:r w:rsidR="00740978">
          <w:rPr>
            <w:noProof/>
            <w:webHidden/>
          </w:rPr>
          <w:fldChar w:fldCharType="separate"/>
        </w:r>
        <w:r w:rsidR="00107B24">
          <w:rPr>
            <w:noProof/>
            <w:webHidden/>
          </w:rPr>
          <w:t>77</w:t>
        </w:r>
        <w:r w:rsidR="00740978">
          <w:rPr>
            <w:noProof/>
            <w:webHidden/>
          </w:rPr>
          <w:fldChar w:fldCharType="end"/>
        </w:r>
      </w:hyperlink>
    </w:p>
    <w:p w:rsidR="00424640" w:rsidRDefault="00E26991">
      <w:pPr>
        <w:pStyle w:val="TOC2"/>
        <w:tabs>
          <w:tab w:val="left" w:pos="920"/>
          <w:tab w:val="right" w:leader="dot" w:pos="9913"/>
        </w:tabs>
        <w:rPr>
          <w:rFonts w:eastAsiaTheme="minorEastAsia" w:cstheme="minorBidi"/>
          <w:smallCaps w:val="0"/>
          <w:noProof/>
          <w:kern w:val="0"/>
          <w:sz w:val="22"/>
          <w:szCs w:val="22"/>
          <w:lang w:val="es-CL" w:eastAsia="es-CL"/>
        </w:rPr>
      </w:pPr>
      <w:hyperlink w:anchor="_Toc418168895" w:history="1">
        <w:r w:rsidR="00424640" w:rsidRPr="00F60307">
          <w:rPr>
            <w:rStyle w:val="Hyperlink"/>
            <w:noProof/>
            <w:lang w:val="es-CL"/>
          </w:rPr>
          <w:t>5.2</w:t>
        </w:r>
        <w:r w:rsidR="00424640">
          <w:rPr>
            <w:rFonts w:eastAsiaTheme="minorEastAsia" w:cstheme="minorBidi"/>
            <w:smallCaps w:val="0"/>
            <w:noProof/>
            <w:kern w:val="0"/>
            <w:sz w:val="22"/>
            <w:szCs w:val="22"/>
            <w:lang w:val="es-CL" w:eastAsia="es-CL"/>
          </w:rPr>
          <w:tab/>
        </w:r>
        <w:r w:rsidR="00424640" w:rsidRPr="00F60307">
          <w:rPr>
            <w:rStyle w:val="Hyperlink"/>
            <w:noProof/>
            <w:lang w:val="es-CL"/>
          </w:rPr>
          <w:t>Análisis de Situación</w:t>
        </w:r>
        <w:r w:rsidR="00424640">
          <w:rPr>
            <w:noProof/>
            <w:webHidden/>
          </w:rPr>
          <w:tab/>
        </w:r>
        <w:r w:rsidR="00740978">
          <w:rPr>
            <w:noProof/>
            <w:webHidden/>
          </w:rPr>
          <w:fldChar w:fldCharType="begin"/>
        </w:r>
        <w:r w:rsidR="00424640">
          <w:rPr>
            <w:noProof/>
            <w:webHidden/>
          </w:rPr>
          <w:instrText xml:space="preserve"> PAGEREF _Toc418168895 \h </w:instrText>
        </w:r>
        <w:r w:rsidR="00740978">
          <w:rPr>
            <w:noProof/>
            <w:webHidden/>
          </w:rPr>
        </w:r>
        <w:r w:rsidR="00740978">
          <w:rPr>
            <w:noProof/>
            <w:webHidden/>
          </w:rPr>
          <w:fldChar w:fldCharType="separate"/>
        </w:r>
        <w:r w:rsidR="00107B24">
          <w:rPr>
            <w:noProof/>
            <w:webHidden/>
          </w:rPr>
          <w:t>78</w:t>
        </w:r>
        <w:r w:rsidR="00740978">
          <w:rPr>
            <w:noProof/>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896" w:history="1">
        <w:r w:rsidR="00424640" w:rsidRPr="00F60307">
          <w:rPr>
            <w:rStyle w:val="Hyperlink"/>
            <w:noProof/>
          </w:rPr>
          <w:t>5.2.1</w:t>
        </w:r>
        <w:r w:rsidR="00424640">
          <w:rPr>
            <w:rFonts w:eastAsiaTheme="minorEastAsia" w:cstheme="minorBidi"/>
            <w:i w:val="0"/>
            <w:iCs w:val="0"/>
            <w:noProof/>
            <w:kern w:val="0"/>
            <w:sz w:val="22"/>
            <w:szCs w:val="22"/>
            <w:lang w:val="es-CL" w:eastAsia="es-CL"/>
          </w:rPr>
          <w:tab/>
        </w:r>
        <w:r w:rsidR="00424640" w:rsidRPr="00F60307">
          <w:rPr>
            <w:rStyle w:val="Hyperlink"/>
            <w:noProof/>
          </w:rPr>
          <w:t>Gobierno</w:t>
        </w:r>
        <w:r w:rsidR="00424640">
          <w:rPr>
            <w:noProof/>
            <w:webHidden/>
          </w:rPr>
          <w:tab/>
        </w:r>
        <w:r w:rsidR="00740978">
          <w:rPr>
            <w:noProof/>
            <w:webHidden/>
          </w:rPr>
          <w:fldChar w:fldCharType="begin"/>
        </w:r>
        <w:r w:rsidR="00424640">
          <w:rPr>
            <w:noProof/>
            <w:webHidden/>
          </w:rPr>
          <w:instrText xml:space="preserve"> PAGEREF _Toc418168896 \h </w:instrText>
        </w:r>
        <w:r w:rsidR="00740978">
          <w:rPr>
            <w:noProof/>
            <w:webHidden/>
          </w:rPr>
        </w:r>
        <w:r w:rsidR="00740978">
          <w:rPr>
            <w:noProof/>
            <w:webHidden/>
          </w:rPr>
          <w:fldChar w:fldCharType="separate"/>
        </w:r>
        <w:r w:rsidR="00107B24">
          <w:rPr>
            <w:noProof/>
            <w:webHidden/>
          </w:rPr>
          <w:t>78</w:t>
        </w:r>
        <w:r w:rsidR="00740978">
          <w:rPr>
            <w:noProof/>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897" w:history="1">
        <w:r w:rsidR="00424640" w:rsidRPr="00F60307">
          <w:rPr>
            <w:rStyle w:val="Hyperlink"/>
            <w:noProof/>
          </w:rPr>
          <w:t>5.2.2</w:t>
        </w:r>
        <w:r w:rsidR="00424640">
          <w:rPr>
            <w:rFonts w:eastAsiaTheme="minorEastAsia" w:cstheme="minorBidi"/>
            <w:i w:val="0"/>
            <w:iCs w:val="0"/>
            <w:noProof/>
            <w:kern w:val="0"/>
            <w:sz w:val="22"/>
            <w:szCs w:val="22"/>
            <w:lang w:val="es-CL" w:eastAsia="es-CL"/>
          </w:rPr>
          <w:tab/>
        </w:r>
        <w:r w:rsidR="00424640" w:rsidRPr="00F60307">
          <w:rPr>
            <w:rStyle w:val="Hyperlink"/>
            <w:noProof/>
          </w:rPr>
          <w:t>Sector Privado e Industria</w:t>
        </w:r>
        <w:r w:rsidR="00424640">
          <w:rPr>
            <w:noProof/>
            <w:webHidden/>
          </w:rPr>
          <w:tab/>
        </w:r>
        <w:r w:rsidR="00740978">
          <w:rPr>
            <w:noProof/>
            <w:webHidden/>
          </w:rPr>
          <w:fldChar w:fldCharType="begin"/>
        </w:r>
        <w:r w:rsidR="00424640">
          <w:rPr>
            <w:noProof/>
            <w:webHidden/>
          </w:rPr>
          <w:instrText xml:space="preserve"> PAGEREF _Toc418168897 \h </w:instrText>
        </w:r>
        <w:r w:rsidR="00740978">
          <w:rPr>
            <w:noProof/>
            <w:webHidden/>
          </w:rPr>
        </w:r>
        <w:r w:rsidR="00740978">
          <w:rPr>
            <w:noProof/>
            <w:webHidden/>
          </w:rPr>
          <w:fldChar w:fldCharType="separate"/>
        </w:r>
        <w:r w:rsidR="00107B24">
          <w:rPr>
            <w:noProof/>
            <w:webHidden/>
          </w:rPr>
          <w:t>86</w:t>
        </w:r>
        <w:r w:rsidR="00740978">
          <w:rPr>
            <w:noProof/>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898" w:history="1">
        <w:r w:rsidR="00424640" w:rsidRPr="00F60307">
          <w:rPr>
            <w:rStyle w:val="Hyperlink"/>
            <w:noProof/>
          </w:rPr>
          <w:t>5.2.3</w:t>
        </w:r>
        <w:r w:rsidR="00424640">
          <w:rPr>
            <w:rFonts w:eastAsiaTheme="minorEastAsia" w:cstheme="minorBidi"/>
            <w:i w:val="0"/>
            <w:iCs w:val="0"/>
            <w:noProof/>
            <w:kern w:val="0"/>
            <w:sz w:val="22"/>
            <w:szCs w:val="22"/>
            <w:lang w:val="es-CL" w:eastAsia="es-CL"/>
          </w:rPr>
          <w:tab/>
        </w:r>
        <w:r w:rsidR="00424640" w:rsidRPr="00F60307">
          <w:rPr>
            <w:rStyle w:val="Hyperlink"/>
            <w:noProof/>
          </w:rPr>
          <w:t>Sociedad Civil</w:t>
        </w:r>
        <w:r w:rsidR="00424640">
          <w:rPr>
            <w:noProof/>
            <w:webHidden/>
          </w:rPr>
          <w:tab/>
        </w:r>
        <w:r w:rsidR="00740978">
          <w:rPr>
            <w:noProof/>
            <w:webHidden/>
          </w:rPr>
          <w:fldChar w:fldCharType="begin"/>
        </w:r>
        <w:r w:rsidR="00424640">
          <w:rPr>
            <w:noProof/>
            <w:webHidden/>
          </w:rPr>
          <w:instrText xml:space="preserve"> PAGEREF _Toc418168898 \h </w:instrText>
        </w:r>
        <w:r w:rsidR="00740978">
          <w:rPr>
            <w:noProof/>
            <w:webHidden/>
          </w:rPr>
        </w:r>
        <w:r w:rsidR="00740978">
          <w:rPr>
            <w:noProof/>
            <w:webHidden/>
          </w:rPr>
          <w:fldChar w:fldCharType="separate"/>
        </w:r>
        <w:r w:rsidR="00107B24">
          <w:rPr>
            <w:noProof/>
            <w:webHidden/>
          </w:rPr>
          <w:t>89</w:t>
        </w:r>
        <w:r w:rsidR="00740978">
          <w:rPr>
            <w:noProof/>
            <w:webHidden/>
          </w:rPr>
          <w:fldChar w:fldCharType="end"/>
        </w:r>
      </w:hyperlink>
    </w:p>
    <w:p w:rsidR="00424640" w:rsidRDefault="00E26991">
      <w:pPr>
        <w:pStyle w:val="TOC2"/>
        <w:tabs>
          <w:tab w:val="left" w:pos="920"/>
          <w:tab w:val="right" w:leader="dot" w:pos="9913"/>
        </w:tabs>
        <w:rPr>
          <w:rFonts w:eastAsiaTheme="minorEastAsia" w:cstheme="minorBidi"/>
          <w:smallCaps w:val="0"/>
          <w:noProof/>
          <w:kern w:val="0"/>
          <w:sz w:val="22"/>
          <w:szCs w:val="22"/>
          <w:lang w:val="es-CL" w:eastAsia="es-CL"/>
        </w:rPr>
      </w:pPr>
      <w:hyperlink w:anchor="_Toc418168899" w:history="1">
        <w:r w:rsidR="00424640" w:rsidRPr="00F60307">
          <w:rPr>
            <w:rStyle w:val="Hyperlink"/>
            <w:noProof/>
            <w:lang w:val="es-CL"/>
          </w:rPr>
          <w:t>5.3</w:t>
        </w:r>
        <w:r w:rsidR="00424640">
          <w:rPr>
            <w:rFonts w:eastAsiaTheme="minorEastAsia" w:cstheme="minorBidi"/>
            <w:smallCaps w:val="0"/>
            <w:noProof/>
            <w:kern w:val="0"/>
            <w:sz w:val="22"/>
            <w:szCs w:val="22"/>
            <w:lang w:val="es-CL" w:eastAsia="es-CL"/>
          </w:rPr>
          <w:tab/>
        </w:r>
        <w:r w:rsidR="00424640" w:rsidRPr="00F60307">
          <w:rPr>
            <w:rStyle w:val="Hyperlink"/>
            <w:noProof/>
            <w:lang w:val="es-CL"/>
          </w:rPr>
          <w:t>Análisis de Vacíos</w:t>
        </w:r>
        <w:r w:rsidR="00424640">
          <w:rPr>
            <w:noProof/>
            <w:webHidden/>
          </w:rPr>
          <w:tab/>
        </w:r>
        <w:r w:rsidR="00740978">
          <w:rPr>
            <w:noProof/>
            <w:webHidden/>
          </w:rPr>
          <w:fldChar w:fldCharType="begin"/>
        </w:r>
        <w:r w:rsidR="00424640">
          <w:rPr>
            <w:noProof/>
            <w:webHidden/>
          </w:rPr>
          <w:instrText xml:space="preserve"> PAGEREF _Toc418168899 \h </w:instrText>
        </w:r>
        <w:r w:rsidR="00740978">
          <w:rPr>
            <w:noProof/>
            <w:webHidden/>
          </w:rPr>
        </w:r>
        <w:r w:rsidR="00740978">
          <w:rPr>
            <w:noProof/>
            <w:webHidden/>
          </w:rPr>
          <w:fldChar w:fldCharType="separate"/>
        </w:r>
        <w:r w:rsidR="00107B24">
          <w:rPr>
            <w:noProof/>
            <w:webHidden/>
          </w:rPr>
          <w:t>91</w:t>
        </w:r>
        <w:r w:rsidR="00740978">
          <w:rPr>
            <w:noProof/>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900" w:history="1">
        <w:r w:rsidR="00424640" w:rsidRPr="00F60307">
          <w:rPr>
            <w:rStyle w:val="Hyperlink"/>
            <w:noProof/>
          </w:rPr>
          <w:t>5.3.1</w:t>
        </w:r>
        <w:r w:rsidR="00424640">
          <w:rPr>
            <w:rFonts w:eastAsiaTheme="minorEastAsia" w:cstheme="minorBidi"/>
            <w:i w:val="0"/>
            <w:iCs w:val="0"/>
            <w:noProof/>
            <w:kern w:val="0"/>
            <w:sz w:val="22"/>
            <w:szCs w:val="22"/>
            <w:lang w:val="es-CL" w:eastAsia="es-CL"/>
          </w:rPr>
          <w:tab/>
        </w:r>
        <w:r w:rsidR="00424640" w:rsidRPr="00F60307">
          <w:rPr>
            <w:rStyle w:val="Hyperlink"/>
            <w:noProof/>
          </w:rPr>
          <w:t>Gobierno</w:t>
        </w:r>
        <w:r w:rsidR="00424640">
          <w:rPr>
            <w:noProof/>
            <w:webHidden/>
          </w:rPr>
          <w:tab/>
        </w:r>
        <w:r w:rsidR="00740978">
          <w:rPr>
            <w:noProof/>
            <w:webHidden/>
          </w:rPr>
          <w:fldChar w:fldCharType="begin"/>
        </w:r>
        <w:r w:rsidR="00424640">
          <w:rPr>
            <w:noProof/>
            <w:webHidden/>
          </w:rPr>
          <w:instrText xml:space="preserve"> PAGEREF _Toc418168900 \h </w:instrText>
        </w:r>
        <w:r w:rsidR="00740978">
          <w:rPr>
            <w:noProof/>
            <w:webHidden/>
          </w:rPr>
        </w:r>
        <w:r w:rsidR="00740978">
          <w:rPr>
            <w:noProof/>
            <w:webHidden/>
          </w:rPr>
          <w:fldChar w:fldCharType="separate"/>
        </w:r>
        <w:r w:rsidR="00107B24">
          <w:rPr>
            <w:noProof/>
            <w:webHidden/>
          </w:rPr>
          <w:t>91</w:t>
        </w:r>
        <w:r w:rsidR="00740978">
          <w:rPr>
            <w:noProof/>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901" w:history="1">
        <w:r w:rsidR="00424640" w:rsidRPr="00F60307">
          <w:rPr>
            <w:rStyle w:val="Hyperlink"/>
            <w:noProof/>
          </w:rPr>
          <w:t>5.3.2</w:t>
        </w:r>
        <w:r w:rsidR="00424640">
          <w:rPr>
            <w:rFonts w:eastAsiaTheme="minorEastAsia" w:cstheme="minorBidi"/>
            <w:i w:val="0"/>
            <w:iCs w:val="0"/>
            <w:noProof/>
            <w:kern w:val="0"/>
            <w:sz w:val="22"/>
            <w:szCs w:val="22"/>
            <w:lang w:val="es-CL" w:eastAsia="es-CL"/>
          </w:rPr>
          <w:tab/>
        </w:r>
        <w:r w:rsidR="00424640" w:rsidRPr="00F60307">
          <w:rPr>
            <w:rStyle w:val="Hyperlink"/>
            <w:noProof/>
          </w:rPr>
          <w:t>Sector Privado e Industria</w:t>
        </w:r>
        <w:r w:rsidR="00424640">
          <w:rPr>
            <w:noProof/>
            <w:webHidden/>
          </w:rPr>
          <w:tab/>
        </w:r>
        <w:r w:rsidR="00740978">
          <w:rPr>
            <w:noProof/>
            <w:webHidden/>
          </w:rPr>
          <w:fldChar w:fldCharType="begin"/>
        </w:r>
        <w:r w:rsidR="00424640">
          <w:rPr>
            <w:noProof/>
            <w:webHidden/>
          </w:rPr>
          <w:instrText xml:space="preserve"> PAGEREF _Toc418168901 \h </w:instrText>
        </w:r>
        <w:r w:rsidR="00740978">
          <w:rPr>
            <w:noProof/>
            <w:webHidden/>
          </w:rPr>
        </w:r>
        <w:r w:rsidR="00740978">
          <w:rPr>
            <w:noProof/>
            <w:webHidden/>
          </w:rPr>
          <w:fldChar w:fldCharType="separate"/>
        </w:r>
        <w:r w:rsidR="00107B24">
          <w:rPr>
            <w:noProof/>
            <w:webHidden/>
          </w:rPr>
          <w:t>93</w:t>
        </w:r>
        <w:r w:rsidR="00740978">
          <w:rPr>
            <w:noProof/>
            <w:webHidden/>
          </w:rPr>
          <w:fldChar w:fldCharType="end"/>
        </w:r>
      </w:hyperlink>
    </w:p>
    <w:p w:rsidR="00424640" w:rsidRDefault="00E26991">
      <w:pPr>
        <w:pStyle w:val="TOC3"/>
        <w:tabs>
          <w:tab w:val="left" w:pos="1150"/>
          <w:tab w:val="right" w:leader="dot" w:pos="9913"/>
        </w:tabs>
        <w:rPr>
          <w:rFonts w:eastAsiaTheme="minorEastAsia" w:cstheme="minorBidi"/>
          <w:i w:val="0"/>
          <w:iCs w:val="0"/>
          <w:noProof/>
          <w:kern w:val="0"/>
          <w:sz w:val="22"/>
          <w:szCs w:val="22"/>
          <w:lang w:val="es-CL" w:eastAsia="es-CL"/>
        </w:rPr>
      </w:pPr>
      <w:hyperlink w:anchor="_Toc418168902" w:history="1">
        <w:r w:rsidR="00424640" w:rsidRPr="00F60307">
          <w:rPr>
            <w:rStyle w:val="Hyperlink"/>
            <w:noProof/>
          </w:rPr>
          <w:t>5.3.3</w:t>
        </w:r>
        <w:r w:rsidR="00424640">
          <w:rPr>
            <w:rFonts w:eastAsiaTheme="minorEastAsia" w:cstheme="minorBidi"/>
            <w:i w:val="0"/>
            <w:iCs w:val="0"/>
            <w:noProof/>
            <w:kern w:val="0"/>
            <w:sz w:val="22"/>
            <w:szCs w:val="22"/>
            <w:lang w:val="es-CL" w:eastAsia="es-CL"/>
          </w:rPr>
          <w:tab/>
        </w:r>
        <w:r w:rsidR="00424640" w:rsidRPr="00F60307">
          <w:rPr>
            <w:rStyle w:val="Hyperlink"/>
            <w:noProof/>
          </w:rPr>
          <w:t>Sociedad Civil</w:t>
        </w:r>
        <w:r w:rsidR="00424640">
          <w:rPr>
            <w:noProof/>
            <w:webHidden/>
          </w:rPr>
          <w:tab/>
        </w:r>
        <w:r w:rsidR="00740978">
          <w:rPr>
            <w:noProof/>
            <w:webHidden/>
          </w:rPr>
          <w:fldChar w:fldCharType="begin"/>
        </w:r>
        <w:r w:rsidR="00424640">
          <w:rPr>
            <w:noProof/>
            <w:webHidden/>
          </w:rPr>
          <w:instrText xml:space="preserve"> PAGEREF _Toc418168902 \h </w:instrText>
        </w:r>
        <w:r w:rsidR="00740978">
          <w:rPr>
            <w:noProof/>
            <w:webHidden/>
          </w:rPr>
        </w:r>
        <w:r w:rsidR="00740978">
          <w:rPr>
            <w:noProof/>
            <w:webHidden/>
          </w:rPr>
          <w:fldChar w:fldCharType="separate"/>
        </w:r>
        <w:r w:rsidR="00107B24">
          <w:rPr>
            <w:noProof/>
            <w:webHidden/>
          </w:rPr>
          <w:t>95</w:t>
        </w:r>
        <w:r w:rsidR="00740978">
          <w:rPr>
            <w:noProof/>
            <w:webHidden/>
          </w:rPr>
          <w:fldChar w:fldCharType="end"/>
        </w:r>
      </w:hyperlink>
    </w:p>
    <w:p w:rsidR="00424640" w:rsidRDefault="00E26991">
      <w:pPr>
        <w:pStyle w:val="TOC2"/>
        <w:tabs>
          <w:tab w:val="left" w:pos="920"/>
          <w:tab w:val="right" w:leader="dot" w:pos="9913"/>
        </w:tabs>
        <w:rPr>
          <w:rFonts w:eastAsiaTheme="minorEastAsia" w:cstheme="minorBidi"/>
          <w:smallCaps w:val="0"/>
          <w:noProof/>
          <w:kern w:val="0"/>
          <w:sz w:val="22"/>
          <w:szCs w:val="22"/>
          <w:lang w:val="es-CL" w:eastAsia="es-CL"/>
        </w:rPr>
      </w:pPr>
      <w:hyperlink w:anchor="_Toc418168903" w:history="1">
        <w:r w:rsidR="00424640" w:rsidRPr="00F60307">
          <w:rPr>
            <w:rStyle w:val="Hyperlink"/>
            <w:noProof/>
            <w:lang w:val="es-CL"/>
          </w:rPr>
          <w:t>5.4</w:t>
        </w:r>
        <w:r w:rsidR="00424640">
          <w:rPr>
            <w:rFonts w:eastAsiaTheme="minorEastAsia" w:cstheme="minorBidi"/>
            <w:smallCaps w:val="0"/>
            <w:noProof/>
            <w:kern w:val="0"/>
            <w:sz w:val="22"/>
            <w:szCs w:val="22"/>
            <w:lang w:val="es-CL" w:eastAsia="es-CL"/>
          </w:rPr>
          <w:tab/>
        </w:r>
        <w:r w:rsidR="00424640" w:rsidRPr="00F60307">
          <w:rPr>
            <w:rStyle w:val="Hyperlink"/>
            <w:noProof/>
            <w:lang w:val="es-CL"/>
          </w:rPr>
          <w:t>Resumen de resultados de Análisis de Situación y Vacíos</w:t>
        </w:r>
        <w:r w:rsidR="00424640">
          <w:rPr>
            <w:noProof/>
            <w:webHidden/>
          </w:rPr>
          <w:tab/>
        </w:r>
        <w:r w:rsidR="00740978">
          <w:rPr>
            <w:noProof/>
            <w:webHidden/>
          </w:rPr>
          <w:fldChar w:fldCharType="begin"/>
        </w:r>
        <w:r w:rsidR="00424640">
          <w:rPr>
            <w:noProof/>
            <w:webHidden/>
          </w:rPr>
          <w:instrText xml:space="preserve"> PAGEREF _Toc418168903 \h </w:instrText>
        </w:r>
        <w:r w:rsidR="00740978">
          <w:rPr>
            <w:noProof/>
            <w:webHidden/>
          </w:rPr>
        </w:r>
        <w:r w:rsidR="00740978">
          <w:rPr>
            <w:noProof/>
            <w:webHidden/>
          </w:rPr>
          <w:fldChar w:fldCharType="separate"/>
        </w:r>
        <w:r w:rsidR="00107B24">
          <w:rPr>
            <w:noProof/>
            <w:webHidden/>
          </w:rPr>
          <w:t>96</w:t>
        </w:r>
        <w:r w:rsidR="00740978">
          <w:rPr>
            <w:noProof/>
            <w:webHidden/>
          </w:rPr>
          <w:fldChar w:fldCharType="end"/>
        </w:r>
      </w:hyperlink>
    </w:p>
    <w:p w:rsidR="00424640" w:rsidRDefault="00E26991">
      <w:pPr>
        <w:pStyle w:val="TOC1"/>
        <w:rPr>
          <w:rFonts w:eastAsiaTheme="minorEastAsia" w:cstheme="minorBidi"/>
          <w:b w:val="0"/>
          <w:bCs w:val="0"/>
          <w:caps w:val="0"/>
          <w:noProof/>
          <w:kern w:val="0"/>
          <w:sz w:val="22"/>
          <w:szCs w:val="22"/>
          <w:lang w:val="es-CL" w:eastAsia="es-CL"/>
        </w:rPr>
      </w:pPr>
      <w:hyperlink w:anchor="_Toc418168904" w:history="1">
        <w:r w:rsidR="00424640" w:rsidRPr="00F60307">
          <w:rPr>
            <w:rStyle w:val="Hyperlink"/>
            <w:noProof/>
            <w:lang w:val="es-CL"/>
          </w:rPr>
          <w:t>6.</w:t>
        </w:r>
        <w:r w:rsidR="00424640">
          <w:rPr>
            <w:rFonts w:eastAsiaTheme="minorEastAsia" w:cstheme="minorBidi"/>
            <w:b w:val="0"/>
            <w:bCs w:val="0"/>
            <w:caps w:val="0"/>
            <w:noProof/>
            <w:kern w:val="0"/>
            <w:sz w:val="22"/>
            <w:szCs w:val="22"/>
            <w:lang w:val="es-CL" w:eastAsia="es-CL"/>
          </w:rPr>
          <w:tab/>
        </w:r>
        <w:r w:rsidR="00424640" w:rsidRPr="00F60307">
          <w:rPr>
            <w:rStyle w:val="Hyperlink"/>
            <w:noProof/>
            <w:lang w:val="es-CL"/>
          </w:rPr>
          <w:t>P</w:t>
        </w:r>
        <w:r w:rsidR="00424640" w:rsidRPr="00F60307">
          <w:rPr>
            <w:rStyle w:val="Hyperlink"/>
            <w:noProof/>
          </w:rPr>
          <w:t>ROPUESTA DE ESTRATEGIA DE IMPLEMENTACIÓN</w:t>
        </w:r>
        <w:r w:rsidR="00424640">
          <w:rPr>
            <w:noProof/>
            <w:webHidden/>
          </w:rPr>
          <w:tab/>
        </w:r>
        <w:r w:rsidR="00740978">
          <w:rPr>
            <w:noProof/>
            <w:webHidden/>
          </w:rPr>
          <w:fldChar w:fldCharType="begin"/>
        </w:r>
        <w:r w:rsidR="00424640">
          <w:rPr>
            <w:noProof/>
            <w:webHidden/>
          </w:rPr>
          <w:instrText xml:space="preserve"> PAGEREF _Toc418168904 \h </w:instrText>
        </w:r>
        <w:r w:rsidR="00740978">
          <w:rPr>
            <w:noProof/>
            <w:webHidden/>
          </w:rPr>
        </w:r>
        <w:r w:rsidR="00740978">
          <w:rPr>
            <w:noProof/>
            <w:webHidden/>
          </w:rPr>
          <w:fldChar w:fldCharType="separate"/>
        </w:r>
        <w:r w:rsidR="00107B24">
          <w:rPr>
            <w:noProof/>
            <w:webHidden/>
          </w:rPr>
          <w:t>102</w:t>
        </w:r>
        <w:r w:rsidR="00740978">
          <w:rPr>
            <w:noProof/>
            <w:webHidden/>
          </w:rPr>
          <w:fldChar w:fldCharType="end"/>
        </w:r>
      </w:hyperlink>
    </w:p>
    <w:p w:rsidR="00424640" w:rsidRDefault="00E26991">
      <w:pPr>
        <w:pStyle w:val="TOC2"/>
        <w:tabs>
          <w:tab w:val="left" w:pos="920"/>
          <w:tab w:val="right" w:leader="dot" w:pos="9913"/>
        </w:tabs>
        <w:rPr>
          <w:rFonts w:eastAsiaTheme="minorEastAsia" w:cstheme="minorBidi"/>
          <w:smallCaps w:val="0"/>
          <w:noProof/>
          <w:kern w:val="0"/>
          <w:sz w:val="22"/>
          <w:szCs w:val="22"/>
          <w:lang w:val="es-CL" w:eastAsia="es-CL"/>
        </w:rPr>
      </w:pPr>
      <w:hyperlink w:anchor="_Toc418168905" w:history="1">
        <w:r w:rsidR="00424640" w:rsidRPr="00F60307">
          <w:rPr>
            <w:rStyle w:val="Hyperlink"/>
            <w:noProof/>
            <w:lang w:val="es-CL"/>
          </w:rPr>
          <w:t>6.1</w:t>
        </w:r>
        <w:r w:rsidR="00424640">
          <w:rPr>
            <w:rFonts w:eastAsiaTheme="minorEastAsia" w:cstheme="minorBidi"/>
            <w:smallCaps w:val="0"/>
            <w:noProof/>
            <w:kern w:val="0"/>
            <w:sz w:val="22"/>
            <w:szCs w:val="22"/>
            <w:lang w:val="es-CL" w:eastAsia="es-CL"/>
          </w:rPr>
          <w:tab/>
        </w:r>
        <w:r w:rsidR="00424640" w:rsidRPr="00F60307">
          <w:rPr>
            <w:rStyle w:val="Hyperlink"/>
            <w:noProof/>
            <w:lang w:val="es-CL"/>
          </w:rPr>
          <w:t>Estructura Organizacional del Comité Coordinador</w:t>
        </w:r>
        <w:r w:rsidR="00424640">
          <w:rPr>
            <w:noProof/>
            <w:webHidden/>
          </w:rPr>
          <w:tab/>
        </w:r>
        <w:r w:rsidR="00740978">
          <w:rPr>
            <w:noProof/>
            <w:webHidden/>
          </w:rPr>
          <w:fldChar w:fldCharType="begin"/>
        </w:r>
        <w:r w:rsidR="00424640">
          <w:rPr>
            <w:noProof/>
            <w:webHidden/>
          </w:rPr>
          <w:instrText xml:space="preserve"> PAGEREF _Toc418168905 \h </w:instrText>
        </w:r>
        <w:r w:rsidR="00740978">
          <w:rPr>
            <w:noProof/>
            <w:webHidden/>
          </w:rPr>
        </w:r>
        <w:r w:rsidR="00740978">
          <w:rPr>
            <w:noProof/>
            <w:webHidden/>
          </w:rPr>
          <w:fldChar w:fldCharType="separate"/>
        </w:r>
        <w:r w:rsidR="00107B24">
          <w:rPr>
            <w:noProof/>
            <w:webHidden/>
          </w:rPr>
          <w:t>106</w:t>
        </w:r>
        <w:r w:rsidR="00740978">
          <w:rPr>
            <w:noProof/>
            <w:webHidden/>
          </w:rPr>
          <w:fldChar w:fldCharType="end"/>
        </w:r>
      </w:hyperlink>
    </w:p>
    <w:p w:rsidR="00424640" w:rsidRDefault="00E26991">
      <w:pPr>
        <w:pStyle w:val="TOC2"/>
        <w:tabs>
          <w:tab w:val="left" w:pos="920"/>
          <w:tab w:val="right" w:leader="dot" w:pos="9913"/>
        </w:tabs>
        <w:rPr>
          <w:rFonts w:eastAsiaTheme="minorEastAsia" w:cstheme="minorBidi"/>
          <w:smallCaps w:val="0"/>
          <w:noProof/>
          <w:kern w:val="0"/>
          <w:sz w:val="22"/>
          <w:szCs w:val="22"/>
          <w:lang w:val="es-CL" w:eastAsia="es-CL"/>
        </w:rPr>
      </w:pPr>
      <w:hyperlink w:anchor="_Toc418168906" w:history="1">
        <w:r w:rsidR="00424640" w:rsidRPr="00F60307">
          <w:rPr>
            <w:rStyle w:val="Hyperlink"/>
            <w:noProof/>
            <w:lang w:val="es-CL"/>
          </w:rPr>
          <w:t>6.2</w:t>
        </w:r>
        <w:r w:rsidR="00424640">
          <w:rPr>
            <w:rFonts w:eastAsiaTheme="minorEastAsia" w:cstheme="minorBidi"/>
            <w:smallCaps w:val="0"/>
            <w:noProof/>
            <w:kern w:val="0"/>
            <w:sz w:val="22"/>
            <w:szCs w:val="22"/>
            <w:lang w:val="es-CL" w:eastAsia="es-CL"/>
          </w:rPr>
          <w:tab/>
        </w:r>
        <w:r w:rsidR="00424640" w:rsidRPr="00F60307">
          <w:rPr>
            <w:rStyle w:val="Hyperlink"/>
            <w:noProof/>
            <w:lang w:val="es-CL"/>
          </w:rPr>
          <w:t>Actividades levantamiento de información</w:t>
        </w:r>
        <w:r w:rsidR="00424640">
          <w:rPr>
            <w:noProof/>
            <w:webHidden/>
          </w:rPr>
          <w:tab/>
        </w:r>
        <w:r w:rsidR="00740978">
          <w:rPr>
            <w:noProof/>
            <w:webHidden/>
          </w:rPr>
          <w:fldChar w:fldCharType="begin"/>
        </w:r>
        <w:r w:rsidR="00424640">
          <w:rPr>
            <w:noProof/>
            <w:webHidden/>
          </w:rPr>
          <w:instrText xml:space="preserve"> PAGEREF _Toc418168906 \h </w:instrText>
        </w:r>
        <w:r w:rsidR="00740978">
          <w:rPr>
            <w:noProof/>
            <w:webHidden/>
          </w:rPr>
        </w:r>
        <w:r w:rsidR="00740978">
          <w:rPr>
            <w:noProof/>
            <w:webHidden/>
          </w:rPr>
          <w:fldChar w:fldCharType="separate"/>
        </w:r>
        <w:r w:rsidR="00107B24">
          <w:rPr>
            <w:noProof/>
            <w:webHidden/>
          </w:rPr>
          <w:t>108</w:t>
        </w:r>
        <w:r w:rsidR="00740978">
          <w:rPr>
            <w:noProof/>
            <w:webHidden/>
          </w:rPr>
          <w:fldChar w:fldCharType="end"/>
        </w:r>
      </w:hyperlink>
    </w:p>
    <w:p w:rsidR="00424640" w:rsidRDefault="00E26991">
      <w:pPr>
        <w:pStyle w:val="TOC2"/>
        <w:tabs>
          <w:tab w:val="left" w:pos="920"/>
          <w:tab w:val="right" w:leader="dot" w:pos="9913"/>
        </w:tabs>
        <w:rPr>
          <w:rFonts w:eastAsiaTheme="minorEastAsia" w:cstheme="minorBidi"/>
          <w:smallCaps w:val="0"/>
          <w:noProof/>
          <w:kern w:val="0"/>
          <w:sz w:val="22"/>
          <w:szCs w:val="22"/>
          <w:lang w:val="es-CL" w:eastAsia="es-CL"/>
        </w:rPr>
      </w:pPr>
      <w:hyperlink w:anchor="_Toc418168907" w:history="1">
        <w:r w:rsidR="00424640" w:rsidRPr="00F60307">
          <w:rPr>
            <w:rStyle w:val="Hyperlink"/>
            <w:noProof/>
            <w:lang w:val="es-CL"/>
          </w:rPr>
          <w:t>6.3</w:t>
        </w:r>
        <w:r w:rsidR="00424640">
          <w:rPr>
            <w:rFonts w:eastAsiaTheme="minorEastAsia" w:cstheme="minorBidi"/>
            <w:smallCaps w:val="0"/>
            <w:noProof/>
            <w:kern w:val="0"/>
            <w:sz w:val="22"/>
            <w:szCs w:val="22"/>
            <w:lang w:val="es-CL" w:eastAsia="es-CL"/>
          </w:rPr>
          <w:tab/>
        </w:r>
        <w:r w:rsidR="00424640" w:rsidRPr="00F60307">
          <w:rPr>
            <w:rStyle w:val="Hyperlink"/>
            <w:noProof/>
            <w:lang w:val="es-CL"/>
          </w:rPr>
          <w:t xml:space="preserve">Actividades de </w:t>
        </w:r>
        <w:r w:rsidR="00424640" w:rsidRPr="00F60307">
          <w:rPr>
            <w:rStyle w:val="Hyperlink"/>
            <w:noProof/>
          </w:rPr>
          <w:t xml:space="preserve">difusión, </w:t>
        </w:r>
        <w:r w:rsidR="00424640" w:rsidRPr="00F60307">
          <w:rPr>
            <w:rStyle w:val="Hyperlink"/>
            <w:noProof/>
            <w:lang w:val="es-CL"/>
          </w:rPr>
          <w:t>sensibilización</w:t>
        </w:r>
        <w:r w:rsidR="00424640" w:rsidRPr="00F60307">
          <w:rPr>
            <w:rStyle w:val="Hyperlink"/>
            <w:noProof/>
          </w:rPr>
          <w:t xml:space="preserve"> y capacitación</w:t>
        </w:r>
        <w:r w:rsidR="00424640">
          <w:rPr>
            <w:noProof/>
            <w:webHidden/>
          </w:rPr>
          <w:tab/>
        </w:r>
        <w:r w:rsidR="00740978">
          <w:rPr>
            <w:noProof/>
            <w:webHidden/>
          </w:rPr>
          <w:fldChar w:fldCharType="begin"/>
        </w:r>
        <w:r w:rsidR="00424640">
          <w:rPr>
            <w:noProof/>
            <w:webHidden/>
          </w:rPr>
          <w:instrText xml:space="preserve"> PAGEREF _Toc418168907 \h </w:instrText>
        </w:r>
        <w:r w:rsidR="00740978">
          <w:rPr>
            <w:noProof/>
            <w:webHidden/>
          </w:rPr>
        </w:r>
        <w:r w:rsidR="00740978">
          <w:rPr>
            <w:noProof/>
            <w:webHidden/>
          </w:rPr>
          <w:fldChar w:fldCharType="separate"/>
        </w:r>
        <w:r w:rsidR="00107B24">
          <w:rPr>
            <w:noProof/>
            <w:webHidden/>
          </w:rPr>
          <w:t>111</w:t>
        </w:r>
        <w:r w:rsidR="00740978">
          <w:rPr>
            <w:noProof/>
            <w:webHidden/>
          </w:rPr>
          <w:fldChar w:fldCharType="end"/>
        </w:r>
      </w:hyperlink>
    </w:p>
    <w:p w:rsidR="00424640" w:rsidRDefault="00E26991">
      <w:pPr>
        <w:pStyle w:val="TOC2"/>
        <w:tabs>
          <w:tab w:val="left" w:pos="920"/>
          <w:tab w:val="right" w:leader="dot" w:pos="9913"/>
        </w:tabs>
        <w:rPr>
          <w:rFonts w:eastAsiaTheme="minorEastAsia" w:cstheme="minorBidi"/>
          <w:smallCaps w:val="0"/>
          <w:noProof/>
          <w:kern w:val="0"/>
          <w:sz w:val="22"/>
          <w:szCs w:val="22"/>
          <w:lang w:val="es-CL" w:eastAsia="es-CL"/>
        </w:rPr>
      </w:pPr>
      <w:hyperlink w:anchor="_Toc418168908" w:history="1">
        <w:r w:rsidR="00424640" w:rsidRPr="00F60307">
          <w:rPr>
            <w:rStyle w:val="Hyperlink"/>
            <w:noProof/>
            <w:lang w:val="es-CL"/>
          </w:rPr>
          <w:t>6.4</w:t>
        </w:r>
        <w:r w:rsidR="00424640">
          <w:rPr>
            <w:rFonts w:eastAsiaTheme="minorEastAsia" w:cstheme="minorBidi"/>
            <w:smallCaps w:val="0"/>
            <w:noProof/>
            <w:kern w:val="0"/>
            <w:sz w:val="22"/>
            <w:szCs w:val="22"/>
            <w:lang w:val="es-CL" w:eastAsia="es-CL"/>
          </w:rPr>
          <w:tab/>
        </w:r>
        <w:r w:rsidR="00424640" w:rsidRPr="00F60307">
          <w:rPr>
            <w:rStyle w:val="Hyperlink"/>
            <w:noProof/>
            <w:lang w:val="es-CL"/>
          </w:rPr>
          <w:t>Desarrollo de capacidades en función del GHS</w:t>
        </w:r>
        <w:r w:rsidR="00424640">
          <w:rPr>
            <w:noProof/>
            <w:webHidden/>
          </w:rPr>
          <w:tab/>
        </w:r>
        <w:r w:rsidR="00740978">
          <w:rPr>
            <w:noProof/>
            <w:webHidden/>
          </w:rPr>
          <w:fldChar w:fldCharType="begin"/>
        </w:r>
        <w:r w:rsidR="00424640">
          <w:rPr>
            <w:noProof/>
            <w:webHidden/>
          </w:rPr>
          <w:instrText xml:space="preserve"> PAGEREF _Toc418168908 \h </w:instrText>
        </w:r>
        <w:r w:rsidR="00740978">
          <w:rPr>
            <w:noProof/>
            <w:webHidden/>
          </w:rPr>
        </w:r>
        <w:r w:rsidR="00740978">
          <w:rPr>
            <w:noProof/>
            <w:webHidden/>
          </w:rPr>
          <w:fldChar w:fldCharType="separate"/>
        </w:r>
        <w:r w:rsidR="00107B24">
          <w:rPr>
            <w:noProof/>
            <w:webHidden/>
          </w:rPr>
          <w:t>114</w:t>
        </w:r>
        <w:r w:rsidR="00740978">
          <w:rPr>
            <w:noProof/>
            <w:webHidden/>
          </w:rPr>
          <w:fldChar w:fldCharType="end"/>
        </w:r>
      </w:hyperlink>
    </w:p>
    <w:p w:rsidR="00424640" w:rsidRDefault="00E26991">
      <w:pPr>
        <w:pStyle w:val="TOC2"/>
        <w:tabs>
          <w:tab w:val="left" w:pos="920"/>
          <w:tab w:val="right" w:leader="dot" w:pos="9913"/>
        </w:tabs>
        <w:rPr>
          <w:rFonts w:eastAsiaTheme="minorEastAsia" w:cstheme="minorBidi"/>
          <w:smallCaps w:val="0"/>
          <w:noProof/>
          <w:kern w:val="0"/>
          <w:sz w:val="22"/>
          <w:szCs w:val="22"/>
          <w:lang w:val="es-CL" w:eastAsia="es-CL"/>
        </w:rPr>
      </w:pPr>
      <w:hyperlink w:anchor="_Toc418168909" w:history="1">
        <w:r w:rsidR="00424640" w:rsidRPr="00F60307">
          <w:rPr>
            <w:rStyle w:val="Hyperlink"/>
            <w:noProof/>
            <w:lang w:val="es-CL"/>
          </w:rPr>
          <w:t>6.5</w:t>
        </w:r>
        <w:r w:rsidR="00424640">
          <w:rPr>
            <w:rFonts w:eastAsiaTheme="minorEastAsia" w:cstheme="minorBidi"/>
            <w:smallCaps w:val="0"/>
            <w:noProof/>
            <w:kern w:val="0"/>
            <w:sz w:val="22"/>
            <w:szCs w:val="22"/>
            <w:lang w:val="es-CL" w:eastAsia="es-CL"/>
          </w:rPr>
          <w:tab/>
        </w:r>
        <w:r w:rsidR="00424640" w:rsidRPr="00F60307">
          <w:rPr>
            <w:rStyle w:val="Hyperlink"/>
            <w:noProof/>
            <w:lang w:val="es-CL"/>
          </w:rPr>
          <w:t>Desarrollo de mecanismo de financiamiento</w:t>
        </w:r>
        <w:r w:rsidR="00424640">
          <w:rPr>
            <w:noProof/>
            <w:webHidden/>
          </w:rPr>
          <w:tab/>
        </w:r>
        <w:r w:rsidR="00740978">
          <w:rPr>
            <w:noProof/>
            <w:webHidden/>
          </w:rPr>
          <w:fldChar w:fldCharType="begin"/>
        </w:r>
        <w:r w:rsidR="00424640">
          <w:rPr>
            <w:noProof/>
            <w:webHidden/>
          </w:rPr>
          <w:instrText xml:space="preserve"> PAGEREF _Toc418168909 \h </w:instrText>
        </w:r>
        <w:r w:rsidR="00740978">
          <w:rPr>
            <w:noProof/>
            <w:webHidden/>
          </w:rPr>
        </w:r>
        <w:r w:rsidR="00740978">
          <w:rPr>
            <w:noProof/>
            <w:webHidden/>
          </w:rPr>
          <w:fldChar w:fldCharType="separate"/>
        </w:r>
        <w:r w:rsidR="00107B24">
          <w:rPr>
            <w:noProof/>
            <w:webHidden/>
          </w:rPr>
          <w:t>117</w:t>
        </w:r>
        <w:r w:rsidR="00740978">
          <w:rPr>
            <w:noProof/>
            <w:webHidden/>
          </w:rPr>
          <w:fldChar w:fldCharType="end"/>
        </w:r>
      </w:hyperlink>
    </w:p>
    <w:p w:rsidR="00424640" w:rsidRDefault="00E26991">
      <w:pPr>
        <w:pStyle w:val="TOC2"/>
        <w:tabs>
          <w:tab w:val="left" w:pos="920"/>
          <w:tab w:val="right" w:leader="dot" w:pos="9913"/>
        </w:tabs>
        <w:rPr>
          <w:rFonts w:eastAsiaTheme="minorEastAsia" w:cstheme="minorBidi"/>
          <w:smallCaps w:val="0"/>
          <w:noProof/>
          <w:kern w:val="0"/>
          <w:sz w:val="22"/>
          <w:szCs w:val="22"/>
          <w:lang w:val="es-CL" w:eastAsia="es-CL"/>
        </w:rPr>
      </w:pPr>
      <w:hyperlink w:anchor="_Toc418168910" w:history="1">
        <w:r w:rsidR="00424640" w:rsidRPr="00F60307">
          <w:rPr>
            <w:rStyle w:val="Hyperlink"/>
            <w:noProof/>
            <w:lang w:val="es-CL"/>
          </w:rPr>
          <w:t>6.6</w:t>
        </w:r>
        <w:r w:rsidR="00424640">
          <w:rPr>
            <w:rFonts w:eastAsiaTheme="minorEastAsia" w:cstheme="minorBidi"/>
            <w:smallCaps w:val="0"/>
            <w:noProof/>
            <w:kern w:val="0"/>
            <w:sz w:val="22"/>
            <w:szCs w:val="22"/>
            <w:lang w:val="es-CL" w:eastAsia="es-CL"/>
          </w:rPr>
          <w:tab/>
        </w:r>
        <w:r w:rsidR="00424640" w:rsidRPr="00F60307">
          <w:rPr>
            <w:rStyle w:val="Hyperlink"/>
            <w:noProof/>
          </w:rPr>
          <w:t>Elaboración marco normativo para implementación del GHS</w:t>
        </w:r>
        <w:r w:rsidR="00424640">
          <w:rPr>
            <w:noProof/>
            <w:webHidden/>
          </w:rPr>
          <w:tab/>
        </w:r>
        <w:r w:rsidR="00740978">
          <w:rPr>
            <w:noProof/>
            <w:webHidden/>
          </w:rPr>
          <w:fldChar w:fldCharType="begin"/>
        </w:r>
        <w:r w:rsidR="00424640">
          <w:rPr>
            <w:noProof/>
            <w:webHidden/>
          </w:rPr>
          <w:instrText xml:space="preserve"> PAGEREF _Toc418168910 \h </w:instrText>
        </w:r>
        <w:r w:rsidR="00740978">
          <w:rPr>
            <w:noProof/>
            <w:webHidden/>
          </w:rPr>
        </w:r>
        <w:r w:rsidR="00740978">
          <w:rPr>
            <w:noProof/>
            <w:webHidden/>
          </w:rPr>
          <w:fldChar w:fldCharType="separate"/>
        </w:r>
        <w:r w:rsidR="00107B24">
          <w:rPr>
            <w:noProof/>
            <w:webHidden/>
          </w:rPr>
          <w:t>118</w:t>
        </w:r>
        <w:r w:rsidR="00740978">
          <w:rPr>
            <w:noProof/>
            <w:webHidden/>
          </w:rPr>
          <w:fldChar w:fldCharType="end"/>
        </w:r>
      </w:hyperlink>
    </w:p>
    <w:p w:rsidR="00424640" w:rsidRDefault="00E26991">
      <w:pPr>
        <w:pStyle w:val="TOC2"/>
        <w:tabs>
          <w:tab w:val="left" w:pos="920"/>
          <w:tab w:val="right" w:leader="dot" w:pos="9913"/>
        </w:tabs>
        <w:rPr>
          <w:rFonts w:eastAsiaTheme="minorEastAsia" w:cstheme="minorBidi"/>
          <w:smallCaps w:val="0"/>
          <w:noProof/>
          <w:kern w:val="0"/>
          <w:sz w:val="22"/>
          <w:szCs w:val="22"/>
          <w:lang w:val="es-CL" w:eastAsia="es-CL"/>
        </w:rPr>
      </w:pPr>
      <w:hyperlink w:anchor="_Toc418168911" w:history="1">
        <w:r w:rsidR="00424640" w:rsidRPr="00F60307">
          <w:rPr>
            <w:rStyle w:val="Hyperlink"/>
            <w:noProof/>
            <w:lang w:val="es-CL"/>
          </w:rPr>
          <w:t>6.7</w:t>
        </w:r>
        <w:r w:rsidR="00424640">
          <w:rPr>
            <w:rFonts w:eastAsiaTheme="minorEastAsia" w:cstheme="minorBidi"/>
            <w:smallCaps w:val="0"/>
            <w:noProof/>
            <w:kern w:val="0"/>
            <w:sz w:val="22"/>
            <w:szCs w:val="22"/>
            <w:lang w:val="es-CL" w:eastAsia="es-CL"/>
          </w:rPr>
          <w:tab/>
        </w:r>
        <w:r w:rsidR="00424640" w:rsidRPr="00F60307">
          <w:rPr>
            <w:rStyle w:val="Hyperlink"/>
            <w:noProof/>
            <w:lang w:val="es-CL"/>
          </w:rPr>
          <w:t>Evaluaci</w:t>
        </w:r>
        <w:r w:rsidR="00424640" w:rsidRPr="00F60307">
          <w:rPr>
            <w:rStyle w:val="Hyperlink"/>
            <w:noProof/>
          </w:rPr>
          <w:t>ón de implementación del GHS en otros sectores</w:t>
        </w:r>
        <w:r w:rsidR="00424640">
          <w:rPr>
            <w:noProof/>
            <w:webHidden/>
          </w:rPr>
          <w:tab/>
        </w:r>
        <w:r w:rsidR="00740978">
          <w:rPr>
            <w:noProof/>
            <w:webHidden/>
          </w:rPr>
          <w:fldChar w:fldCharType="begin"/>
        </w:r>
        <w:r w:rsidR="00424640">
          <w:rPr>
            <w:noProof/>
            <w:webHidden/>
          </w:rPr>
          <w:instrText xml:space="preserve"> PAGEREF _Toc418168911 \h </w:instrText>
        </w:r>
        <w:r w:rsidR="00740978">
          <w:rPr>
            <w:noProof/>
            <w:webHidden/>
          </w:rPr>
        </w:r>
        <w:r w:rsidR="00740978">
          <w:rPr>
            <w:noProof/>
            <w:webHidden/>
          </w:rPr>
          <w:fldChar w:fldCharType="separate"/>
        </w:r>
        <w:r w:rsidR="00107B24">
          <w:rPr>
            <w:noProof/>
            <w:webHidden/>
          </w:rPr>
          <w:t>120</w:t>
        </w:r>
        <w:r w:rsidR="00740978">
          <w:rPr>
            <w:noProof/>
            <w:webHidden/>
          </w:rPr>
          <w:fldChar w:fldCharType="end"/>
        </w:r>
      </w:hyperlink>
    </w:p>
    <w:p w:rsidR="00C37B65" w:rsidRDefault="00740978" w:rsidP="00C37B65">
      <w:pPr>
        <w:pStyle w:val="TOC1"/>
        <w:rPr>
          <w:b w:val="0"/>
          <w:bCs w:val="0"/>
          <w:caps w:val="0"/>
        </w:rPr>
      </w:pPr>
      <w:r>
        <w:fldChar w:fldCharType="begin"/>
      </w:r>
      <w:r>
        <w:instrText>HYPERLINK \l "_Toc418168912"</w:instrText>
      </w:r>
      <w:r>
        <w:fldChar w:fldCharType="separate"/>
      </w:r>
    </w:p>
    <w:p w:rsidR="00D46A1A" w:rsidRDefault="00740978" w:rsidP="00C37B65">
      <w:pPr>
        <w:pStyle w:val="TOC1"/>
        <w:rPr>
          <w:b w:val="0"/>
          <w:bCs w:val="0"/>
          <w:caps w:val="0"/>
          <w:highlight w:val="yellow"/>
          <w:lang w:val="es-CL"/>
        </w:rPr>
      </w:pPr>
      <w:r>
        <w:fldChar w:fldCharType="end"/>
      </w:r>
      <w:r>
        <w:rPr>
          <w:b w:val="0"/>
          <w:bCs w:val="0"/>
          <w:caps w:val="0"/>
          <w:highlight w:val="yellow"/>
          <w:lang w:val="es-CL"/>
        </w:rPr>
        <w:fldChar w:fldCharType="end"/>
      </w:r>
    </w:p>
    <w:p w:rsidR="003A3E81" w:rsidRPr="000D5FCA" w:rsidRDefault="004424C7" w:rsidP="00606EAC">
      <w:pPr>
        <w:pStyle w:val="Heading1"/>
        <w:spacing w:before="0" w:after="180" w:line="264" w:lineRule="auto"/>
        <w:ind w:left="0" w:firstLine="0"/>
        <w:rPr>
          <w:rFonts w:asciiTheme="minorHAnsi" w:hAnsiTheme="minorHAnsi"/>
          <w:caps w:val="0"/>
          <w:lang w:val="es-CL"/>
        </w:rPr>
      </w:pPr>
      <w:bookmarkStart w:id="6" w:name="_Toc418168849"/>
      <w:bookmarkStart w:id="7" w:name="_Toc330284288"/>
      <w:r w:rsidRPr="000D5FCA">
        <w:rPr>
          <w:rFonts w:asciiTheme="minorHAnsi" w:hAnsiTheme="minorHAnsi"/>
          <w:caps w:val="0"/>
          <w:lang w:val="es-CL"/>
        </w:rPr>
        <w:t>INTRODUCCIÓN</w:t>
      </w:r>
      <w:bookmarkStart w:id="8" w:name="_Toc264909812"/>
      <w:bookmarkStart w:id="9" w:name="_Toc288835382"/>
      <w:bookmarkEnd w:id="6"/>
    </w:p>
    <w:p w:rsidR="007006E4" w:rsidRPr="00D046B6" w:rsidRDefault="007006E4" w:rsidP="00606EAC">
      <w:pPr>
        <w:jc w:val="both"/>
        <w:rPr>
          <w:sz w:val="22"/>
          <w:szCs w:val="22"/>
          <w:lang w:val="es-CL"/>
        </w:rPr>
      </w:pPr>
      <w:r w:rsidRPr="00D046B6">
        <w:rPr>
          <w:sz w:val="22"/>
          <w:szCs w:val="22"/>
          <w:lang w:val="es-CL"/>
        </w:rPr>
        <w:t>A través de su ciclo de vida, esto es en su producción, almacenamiento, transporte y uso, las sustancias químicas pueden ser un verdadero peligro para la salud humana y el medio ambiente. Es por este motivo, y producto</w:t>
      </w:r>
      <w:r w:rsidR="00AB50F0" w:rsidRPr="00D046B6">
        <w:rPr>
          <w:sz w:val="22"/>
          <w:szCs w:val="22"/>
          <w:lang w:val="es-CL"/>
        </w:rPr>
        <w:t xml:space="preserve"> de sus propias necesidades y conocimiento</w:t>
      </w:r>
      <w:r w:rsidR="00AB663A">
        <w:rPr>
          <w:sz w:val="22"/>
          <w:szCs w:val="22"/>
          <w:lang w:val="es-CL"/>
        </w:rPr>
        <w:t>s</w:t>
      </w:r>
      <w:r w:rsidR="00AB50F0" w:rsidRPr="00D046B6">
        <w:rPr>
          <w:sz w:val="22"/>
          <w:szCs w:val="22"/>
          <w:lang w:val="es-CL"/>
        </w:rPr>
        <w:t xml:space="preserve">, </w:t>
      </w:r>
      <w:r w:rsidRPr="00D046B6">
        <w:rPr>
          <w:sz w:val="22"/>
          <w:szCs w:val="22"/>
          <w:lang w:val="es-CL"/>
        </w:rPr>
        <w:t>que</w:t>
      </w:r>
      <w:r w:rsidR="00AB50F0" w:rsidRPr="00D046B6">
        <w:rPr>
          <w:sz w:val="22"/>
          <w:szCs w:val="22"/>
          <w:lang w:val="es-CL"/>
        </w:rPr>
        <w:t xml:space="preserve"> diversos países </w:t>
      </w:r>
      <w:r w:rsidRPr="00D046B6">
        <w:rPr>
          <w:sz w:val="22"/>
          <w:szCs w:val="22"/>
          <w:lang w:val="es-CL"/>
        </w:rPr>
        <w:t>han elaborado reglamentos y leyes que permiten disponer de información sobre las propiedades peligrosas y medidas de control a los usuarios de pr</w:t>
      </w:r>
      <w:r w:rsidR="00AB663A">
        <w:rPr>
          <w:sz w:val="22"/>
          <w:szCs w:val="22"/>
          <w:lang w:val="es-CL"/>
        </w:rPr>
        <w:t xml:space="preserve">oductos químicos, </w:t>
      </w:r>
      <w:r w:rsidRPr="00D046B6">
        <w:rPr>
          <w:sz w:val="22"/>
          <w:szCs w:val="22"/>
          <w:lang w:val="es-CL"/>
        </w:rPr>
        <w:t>grupo que puede incluir a personas de distintas edades, estratos sociales y nivel de educación</w:t>
      </w:r>
      <w:r w:rsidR="004C1810" w:rsidRPr="00D046B6">
        <w:rPr>
          <w:sz w:val="22"/>
          <w:szCs w:val="22"/>
          <w:lang w:val="es-CL"/>
        </w:rPr>
        <w:t>,</w:t>
      </w:r>
      <w:r w:rsidRPr="00D046B6">
        <w:rPr>
          <w:sz w:val="22"/>
          <w:szCs w:val="22"/>
          <w:lang w:val="es-CL"/>
        </w:rPr>
        <w:t xml:space="preserve"> </w:t>
      </w:r>
      <w:r w:rsidR="00AB50F0" w:rsidRPr="00D046B6">
        <w:rPr>
          <w:sz w:val="22"/>
          <w:szCs w:val="22"/>
          <w:lang w:val="es-CL"/>
        </w:rPr>
        <w:t>quienes</w:t>
      </w:r>
      <w:r w:rsidRPr="00D046B6">
        <w:rPr>
          <w:sz w:val="22"/>
          <w:szCs w:val="22"/>
          <w:lang w:val="es-CL"/>
        </w:rPr>
        <w:t xml:space="preserve"> se enfrentan a diario con pro</w:t>
      </w:r>
      <w:r w:rsidR="004C1810" w:rsidRPr="00D046B6">
        <w:rPr>
          <w:sz w:val="22"/>
          <w:szCs w:val="22"/>
          <w:lang w:val="es-CL"/>
        </w:rPr>
        <w:t xml:space="preserve">ductos potencialmente peligrosos. </w:t>
      </w:r>
      <w:r w:rsidRPr="00D046B6">
        <w:rPr>
          <w:sz w:val="22"/>
          <w:szCs w:val="22"/>
          <w:lang w:val="es-CL"/>
        </w:rPr>
        <w:t>Sin embargo, estos sistemas</w:t>
      </w:r>
      <w:r w:rsidR="004C1810" w:rsidRPr="00D046B6">
        <w:rPr>
          <w:sz w:val="22"/>
          <w:szCs w:val="22"/>
          <w:lang w:val="es-CL"/>
        </w:rPr>
        <w:t xml:space="preserve"> regulatorios</w:t>
      </w:r>
      <w:r w:rsidRPr="00D046B6">
        <w:rPr>
          <w:sz w:val="22"/>
          <w:szCs w:val="22"/>
          <w:lang w:val="es-CL"/>
        </w:rPr>
        <w:t xml:space="preserve"> presentan variaciones</w:t>
      </w:r>
      <w:r w:rsidR="00AB50F0" w:rsidRPr="00D046B6">
        <w:rPr>
          <w:sz w:val="22"/>
          <w:szCs w:val="22"/>
          <w:lang w:val="es-CL"/>
        </w:rPr>
        <w:t xml:space="preserve"> entre sí</w:t>
      </w:r>
      <w:r w:rsidRPr="00D046B6">
        <w:rPr>
          <w:sz w:val="22"/>
          <w:szCs w:val="22"/>
          <w:lang w:val="es-CL"/>
        </w:rPr>
        <w:t xml:space="preserve"> con respecto a las definiciones de los peligros (clasificación de peligro) y a la información que debe transmitirse a través de las etiquetas y hojas de seguridad (comunicaci</w:t>
      </w:r>
      <w:r w:rsidR="00AB50F0" w:rsidRPr="00D046B6">
        <w:rPr>
          <w:sz w:val="22"/>
          <w:szCs w:val="22"/>
          <w:lang w:val="es-CL"/>
        </w:rPr>
        <w:t>ón de peligro) lo que ocasiona contradicciones que no son óptimas para el objetivo de proteger la salud humana y el medio ambiente</w:t>
      </w:r>
      <w:r w:rsidR="00424640">
        <w:rPr>
          <w:sz w:val="22"/>
          <w:szCs w:val="22"/>
          <w:lang w:val="es-CL"/>
        </w:rPr>
        <w:t>.</w:t>
      </w:r>
      <w:r w:rsidR="00424640">
        <w:rPr>
          <w:sz w:val="22"/>
          <w:szCs w:val="22"/>
        </w:rPr>
        <w:t xml:space="preserve"> Por una parte, </w:t>
      </w:r>
      <w:r w:rsidR="00AB663A">
        <w:rPr>
          <w:sz w:val="22"/>
          <w:szCs w:val="22"/>
          <w:lang w:val="es-CL"/>
        </w:rPr>
        <w:t>se</w:t>
      </w:r>
      <w:r w:rsidR="00AB663A" w:rsidRPr="00D046B6">
        <w:rPr>
          <w:sz w:val="22"/>
          <w:szCs w:val="22"/>
          <w:lang w:val="es-CL"/>
        </w:rPr>
        <w:t xml:space="preserve"> afecta la protección de las personas expuestas al crear confusión con respecto al peligro y las medidas de protección relativas a un mismo producto</w:t>
      </w:r>
      <w:r w:rsidR="00AB663A">
        <w:rPr>
          <w:sz w:val="22"/>
          <w:szCs w:val="22"/>
          <w:lang w:val="es-CL"/>
        </w:rPr>
        <w:t xml:space="preserve"> y, </w:t>
      </w:r>
      <w:r w:rsidR="00424640">
        <w:rPr>
          <w:sz w:val="22"/>
          <w:szCs w:val="22"/>
        </w:rPr>
        <w:t>por otro lado</w:t>
      </w:r>
      <w:r w:rsidR="00AB663A">
        <w:rPr>
          <w:sz w:val="22"/>
          <w:szCs w:val="22"/>
          <w:lang w:val="es-CL"/>
        </w:rPr>
        <w:t xml:space="preserve">, </w:t>
      </w:r>
      <w:r w:rsidR="00424640">
        <w:rPr>
          <w:sz w:val="22"/>
          <w:szCs w:val="22"/>
        </w:rPr>
        <w:t xml:space="preserve">se dificulta </w:t>
      </w:r>
      <w:r w:rsidR="00AB50F0" w:rsidRPr="00D046B6">
        <w:rPr>
          <w:sz w:val="22"/>
          <w:szCs w:val="22"/>
          <w:lang w:val="es-CL"/>
        </w:rPr>
        <w:t>e</w:t>
      </w:r>
      <w:r w:rsidR="00AB663A">
        <w:rPr>
          <w:sz w:val="22"/>
          <w:szCs w:val="22"/>
          <w:lang w:val="es-CL"/>
        </w:rPr>
        <w:t>l comercio de estas sustancias debido que</w:t>
      </w:r>
      <w:r w:rsidR="00AB50F0" w:rsidRPr="00D046B6">
        <w:rPr>
          <w:sz w:val="22"/>
          <w:szCs w:val="22"/>
          <w:lang w:val="es-CL"/>
        </w:rPr>
        <w:t xml:space="preserve"> al requerir de múltiples etiquetas y hojas de seguridad para un mismo producto a </w:t>
      </w:r>
      <w:r w:rsidR="00424640">
        <w:rPr>
          <w:sz w:val="22"/>
          <w:szCs w:val="22"/>
          <w:lang w:val="es-CL"/>
        </w:rPr>
        <w:t>escala regional e internacional</w:t>
      </w:r>
      <w:r w:rsidR="00AB50F0" w:rsidRPr="00D046B6">
        <w:rPr>
          <w:sz w:val="22"/>
          <w:szCs w:val="22"/>
          <w:lang w:val="es-CL"/>
        </w:rPr>
        <w:t xml:space="preserve"> se generan obstáculos </w:t>
      </w:r>
      <w:r w:rsidR="004C1810" w:rsidRPr="00D046B6">
        <w:rPr>
          <w:sz w:val="22"/>
          <w:szCs w:val="22"/>
          <w:lang w:val="es-CL"/>
        </w:rPr>
        <w:t>para la comercialización</w:t>
      </w:r>
      <w:r w:rsidR="00AB50F0" w:rsidRPr="00D046B6">
        <w:rPr>
          <w:sz w:val="22"/>
          <w:szCs w:val="22"/>
          <w:lang w:val="es-CL"/>
        </w:rPr>
        <w:t xml:space="preserve"> por la necesidad de cumplir con múltiples reglamentos en materia de clasificación y etiquetado</w:t>
      </w:r>
      <w:r w:rsidR="00AB663A">
        <w:rPr>
          <w:sz w:val="22"/>
          <w:szCs w:val="22"/>
          <w:lang w:val="es-CL"/>
        </w:rPr>
        <w:t>.</w:t>
      </w:r>
    </w:p>
    <w:p w:rsidR="00A65399" w:rsidRPr="00A65399" w:rsidRDefault="00A65399" w:rsidP="00606EAC">
      <w:pPr>
        <w:autoSpaceDE w:val="0"/>
        <w:autoSpaceDN w:val="0"/>
        <w:adjustRightInd w:val="0"/>
        <w:jc w:val="both"/>
        <w:rPr>
          <w:rFonts w:ascii="LucidaSansUnicode" w:hAnsi="LucidaSansUnicode" w:cs="LucidaSansUnicode"/>
          <w:kern w:val="0"/>
          <w:sz w:val="22"/>
          <w:szCs w:val="22"/>
          <w:lang w:val="es-ES"/>
        </w:rPr>
      </w:pPr>
      <w:r>
        <w:rPr>
          <w:rFonts w:cs="LucidaSansUnicode"/>
          <w:kern w:val="0"/>
          <w:sz w:val="22"/>
          <w:szCs w:val="22"/>
          <w:lang w:val="es-ES"/>
        </w:rPr>
        <w:t>A raíz de esta problemática</w:t>
      </w:r>
      <w:r w:rsidR="009C074C" w:rsidRPr="009C074C">
        <w:rPr>
          <w:rFonts w:cs="LucidaSansUnicode"/>
          <w:kern w:val="0"/>
          <w:sz w:val="22"/>
          <w:szCs w:val="22"/>
          <w:lang w:val="es-ES"/>
        </w:rPr>
        <w:t xml:space="preserve">, </w:t>
      </w:r>
      <w:r w:rsidR="009C074C">
        <w:rPr>
          <w:rFonts w:cs="LucidaSansUnicode"/>
          <w:kern w:val="0"/>
          <w:sz w:val="22"/>
          <w:szCs w:val="22"/>
          <w:lang w:val="es-ES"/>
        </w:rPr>
        <w:t>d</w:t>
      </w:r>
      <w:r w:rsidR="009C074C" w:rsidRPr="009C074C">
        <w:rPr>
          <w:rFonts w:cs="LucidaSansUnicode"/>
          <w:kern w:val="0"/>
          <w:sz w:val="22"/>
          <w:szCs w:val="22"/>
          <w:lang w:val="es-ES"/>
        </w:rPr>
        <w:t xml:space="preserve">urante la Conferencia de las Naciones Unidas sobre el Medio Ambiente y el Desarrollo del año 1992 se aprobó el mandato internacional que establecía lo siguiente: </w:t>
      </w:r>
      <w:r w:rsidR="009C074C" w:rsidRPr="00A65399">
        <w:rPr>
          <w:rFonts w:cs="LucidaSansUnicode"/>
          <w:i/>
          <w:kern w:val="0"/>
          <w:sz w:val="22"/>
          <w:szCs w:val="22"/>
          <w:lang w:val="es-ES"/>
        </w:rPr>
        <w:t>“Para el año 2000 debería disponerse, dentro de lo posible, de un sistema de clasificación y etiquetado armonizado mundialmente, que contenga fichas de datos sobre la seguridad de distintos productos químicos y símbolos de fácil comprensión”.</w:t>
      </w:r>
      <w:r w:rsidRPr="00A65399">
        <w:rPr>
          <w:rFonts w:cs="LucidaSansUnicode"/>
          <w:kern w:val="0"/>
          <w:sz w:val="22"/>
          <w:szCs w:val="22"/>
          <w:lang w:val="es-ES"/>
        </w:rPr>
        <w:t xml:space="preserve"> Bajo esta perspectiva surge una iniciativa mundial desde las Naciones Unidas denominada Sis</w:t>
      </w:r>
      <w:r w:rsidR="00424640">
        <w:rPr>
          <w:rFonts w:cs="LucidaSansUnicode"/>
          <w:kern w:val="0"/>
          <w:sz w:val="22"/>
          <w:szCs w:val="22"/>
          <w:lang w:val="es-ES"/>
        </w:rPr>
        <w:t>tema Globalmente Armonizado de Clasificación y E</w:t>
      </w:r>
      <w:r w:rsidRPr="00A65399">
        <w:rPr>
          <w:rFonts w:cs="LucidaSansUnicode"/>
          <w:kern w:val="0"/>
          <w:sz w:val="22"/>
          <w:szCs w:val="22"/>
          <w:lang w:val="es-ES"/>
        </w:rPr>
        <w:t>tiquetado de productos químicos (GHS), con el objetivo de normalizar y armonizar la clasificación y etiquetado de los productos químicos a nivel mundial</w:t>
      </w:r>
      <w:r w:rsidR="004C1810">
        <w:rPr>
          <w:rFonts w:cs="LucidaSansUnicode"/>
          <w:kern w:val="0"/>
          <w:sz w:val="22"/>
          <w:szCs w:val="22"/>
          <w:lang w:val="es-ES"/>
        </w:rPr>
        <w:t>,</w:t>
      </w:r>
      <w:r w:rsidRPr="00A65399">
        <w:rPr>
          <w:rFonts w:cs="LucidaSansUnicode"/>
          <w:kern w:val="0"/>
          <w:sz w:val="22"/>
          <w:szCs w:val="22"/>
          <w:lang w:val="es-ES"/>
        </w:rPr>
        <w:t xml:space="preserve"> cuyo documento final fue aprobado el año 2002 y que incluye entre sus beneficios:</w:t>
      </w:r>
    </w:p>
    <w:p w:rsidR="00A65399" w:rsidRPr="00A65399" w:rsidRDefault="009976FC" w:rsidP="00D4302C">
      <w:pPr>
        <w:pStyle w:val="ListParagraph"/>
        <w:numPr>
          <w:ilvl w:val="0"/>
          <w:numId w:val="26"/>
        </w:numPr>
        <w:autoSpaceDE w:val="0"/>
        <w:autoSpaceDN w:val="0"/>
        <w:adjustRightInd w:val="0"/>
        <w:jc w:val="both"/>
        <w:rPr>
          <w:rFonts w:cs="LucidaSansUnicode"/>
          <w:kern w:val="0"/>
          <w:sz w:val="22"/>
          <w:szCs w:val="22"/>
          <w:lang w:val="es-ES"/>
        </w:rPr>
      </w:pPr>
      <w:r>
        <w:rPr>
          <w:rFonts w:cs="LucidaSansUnicode"/>
          <w:kern w:val="0"/>
          <w:sz w:val="22"/>
          <w:szCs w:val="22"/>
          <w:lang w:val="es-ES"/>
        </w:rPr>
        <w:t>M</w:t>
      </w:r>
      <w:r w:rsidR="00A65399" w:rsidRPr="00A65399">
        <w:rPr>
          <w:rFonts w:cs="LucidaSansUnicode"/>
          <w:kern w:val="0"/>
          <w:sz w:val="22"/>
          <w:szCs w:val="22"/>
          <w:lang w:val="es-ES"/>
        </w:rPr>
        <w:t xml:space="preserve">ejorar la protección de las personas y el medio ambiente, proporcionando un sistema integral de comunicación de riesgos químicos a nivel internacional, </w:t>
      </w:r>
    </w:p>
    <w:p w:rsidR="00A65399" w:rsidRPr="00A65399" w:rsidRDefault="009976FC" w:rsidP="00D4302C">
      <w:pPr>
        <w:pStyle w:val="ListParagraph"/>
        <w:numPr>
          <w:ilvl w:val="0"/>
          <w:numId w:val="26"/>
        </w:numPr>
        <w:autoSpaceDE w:val="0"/>
        <w:autoSpaceDN w:val="0"/>
        <w:adjustRightInd w:val="0"/>
        <w:jc w:val="both"/>
        <w:rPr>
          <w:rFonts w:cs="LucidaSansUnicode"/>
          <w:kern w:val="0"/>
          <w:sz w:val="22"/>
          <w:szCs w:val="22"/>
          <w:lang w:val="es-ES"/>
        </w:rPr>
      </w:pPr>
      <w:r>
        <w:rPr>
          <w:rFonts w:cs="LucidaSansUnicode"/>
          <w:kern w:val="0"/>
          <w:sz w:val="22"/>
          <w:szCs w:val="22"/>
          <w:lang w:val="es-ES"/>
        </w:rPr>
        <w:t>E</w:t>
      </w:r>
      <w:r w:rsidR="00A65399" w:rsidRPr="00A65399">
        <w:rPr>
          <w:rFonts w:cs="LucidaSansUnicode"/>
          <w:kern w:val="0"/>
          <w:sz w:val="22"/>
          <w:szCs w:val="22"/>
          <w:lang w:val="es-ES"/>
        </w:rPr>
        <w:t>stablecer un marco reconocido para aquellos países que carecen de sistema de clasificación,</w:t>
      </w:r>
    </w:p>
    <w:p w:rsidR="00A65399" w:rsidRPr="00A65399" w:rsidRDefault="009976FC" w:rsidP="00D4302C">
      <w:pPr>
        <w:pStyle w:val="ListParagraph"/>
        <w:numPr>
          <w:ilvl w:val="0"/>
          <w:numId w:val="26"/>
        </w:numPr>
        <w:autoSpaceDE w:val="0"/>
        <w:autoSpaceDN w:val="0"/>
        <w:adjustRightInd w:val="0"/>
        <w:jc w:val="both"/>
        <w:rPr>
          <w:rFonts w:cs="LucidaSansUnicode"/>
          <w:kern w:val="0"/>
          <w:sz w:val="22"/>
          <w:szCs w:val="22"/>
          <w:lang w:val="es-ES"/>
        </w:rPr>
      </w:pPr>
      <w:r>
        <w:rPr>
          <w:rFonts w:cs="LucidaSansUnicode"/>
          <w:kern w:val="0"/>
          <w:sz w:val="22"/>
          <w:szCs w:val="22"/>
          <w:lang w:val="es-ES"/>
        </w:rPr>
        <w:t>R</w:t>
      </w:r>
      <w:r w:rsidR="00A65399" w:rsidRPr="00A65399">
        <w:rPr>
          <w:rFonts w:cs="LucidaSansUnicode"/>
          <w:kern w:val="0"/>
          <w:sz w:val="22"/>
          <w:szCs w:val="22"/>
          <w:lang w:val="es-ES"/>
        </w:rPr>
        <w:t>educir la necesidad de pruebas y evaluación de productos químicos, esto es, no duplicar esfuerzos,</w:t>
      </w:r>
    </w:p>
    <w:p w:rsidR="00A65399" w:rsidRPr="00A65399" w:rsidRDefault="009976FC" w:rsidP="00D4302C">
      <w:pPr>
        <w:pStyle w:val="ListParagraph"/>
        <w:numPr>
          <w:ilvl w:val="0"/>
          <w:numId w:val="26"/>
        </w:numPr>
        <w:autoSpaceDE w:val="0"/>
        <w:autoSpaceDN w:val="0"/>
        <w:adjustRightInd w:val="0"/>
        <w:jc w:val="both"/>
        <w:rPr>
          <w:rFonts w:cs="LucidaSansUnicode"/>
          <w:kern w:val="0"/>
          <w:sz w:val="22"/>
          <w:szCs w:val="22"/>
          <w:lang w:val="es-ES"/>
        </w:rPr>
      </w:pPr>
      <w:r>
        <w:rPr>
          <w:rFonts w:cs="LucidaSansUnicode"/>
          <w:kern w:val="0"/>
          <w:sz w:val="22"/>
          <w:szCs w:val="22"/>
          <w:lang w:val="es-ES"/>
        </w:rPr>
        <w:t>F</w:t>
      </w:r>
      <w:r w:rsidR="00A65399" w:rsidRPr="00A65399">
        <w:rPr>
          <w:rFonts w:cs="LucidaSansUnicode"/>
          <w:kern w:val="0"/>
          <w:sz w:val="22"/>
          <w:szCs w:val="22"/>
          <w:lang w:val="es-ES"/>
        </w:rPr>
        <w:t>acilitar el comercio internacional de productos químicos cuyos peligros ya han sido evaluados e identificados a nivel internacional.</w:t>
      </w:r>
    </w:p>
    <w:p w:rsidR="00452C60" w:rsidRPr="00F50645" w:rsidRDefault="00B326EA" w:rsidP="00606EAC">
      <w:pPr>
        <w:autoSpaceDE w:val="0"/>
        <w:autoSpaceDN w:val="0"/>
        <w:adjustRightInd w:val="0"/>
        <w:jc w:val="both"/>
        <w:rPr>
          <w:rFonts w:cs="LucidaSansUnicode"/>
          <w:kern w:val="0"/>
          <w:sz w:val="22"/>
          <w:szCs w:val="22"/>
          <w:lang w:val="es-ES"/>
        </w:rPr>
      </w:pPr>
      <w:r w:rsidRPr="00AD77DC">
        <w:rPr>
          <w:rFonts w:cs="LucidaSansUnicode"/>
          <w:kern w:val="0"/>
          <w:sz w:val="22"/>
          <w:szCs w:val="22"/>
          <w:lang w:val="es-ES"/>
        </w:rPr>
        <w:t>En la Cumbre Mundial de Desarrollo Sostenible de Johannesburgo del año 2002, se alentó</w:t>
      </w:r>
      <w:r w:rsidR="00AD77DC">
        <w:rPr>
          <w:rFonts w:cs="LucidaSansUnicode"/>
          <w:kern w:val="0"/>
          <w:sz w:val="22"/>
          <w:szCs w:val="22"/>
          <w:lang w:val="es-ES"/>
        </w:rPr>
        <w:t xml:space="preserve"> </w:t>
      </w:r>
      <w:r w:rsidRPr="00AD77DC">
        <w:rPr>
          <w:rFonts w:cs="LucidaSansUnicode"/>
          <w:kern w:val="0"/>
          <w:sz w:val="22"/>
          <w:szCs w:val="22"/>
          <w:lang w:val="es-ES"/>
        </w:rPr>
        <w:t>a los países a que aplicaran este nuevo sistema de clasificación y etiquetado lo antes</w:t>
      </w:r>
      <w:r w:rsidR="00AD77DC">
        <w:rPr>
          <w:rFonts w:cs="LucidaSansUnicode"/>
          <w:kern w:val="0"/>
          <w:sz w:val="22"/>
          <w:szCs w:val="22"/>
          <w:lang w:val="es-ES"/>
        </w:rPr>
        <w:t xml:space="preserve"> </w:t>
      </w:r>
      <w:r w:rsidRPr="00AD77DC">
        <w:rPr>
          <w:rFonts w:cs="LucidaSansUnicode"/>
          <w:kern w:val="0"/>
          <w:sz w:val="22"/>
          <w:szCs w:val="22"/>
          <w:lang w:val="es-ES"/>
        </w:rPr>
        <w:t>posible con el fin de lograr que el sistema estuviera plenamente operativo el año 2008,</w:t>
      </w:r>
      <w:r w:rsidR="00AD77DC">
        <w:rPr>
          <w:rFonts w:cs="LucidaSansUnicode"/>
          <w:kern w:val="0"/>
          <w:sz w:val="22"/>
          <w:szCs w:val="22"/>
          <w:lang w:val="es-ES"/>
        </w:rPr>
        <w:t xml:space="preserve"> </w:t>
      </w:r>
      <w:r w:rsidRPr="00AD77DC">
        <w:rPr>
          <w:rFonts w:cs="LucidaSansUnicode"/>
          <w:kern w:val="0"/>
          <w:sz w:val="22"/>
          <w:szCs w:val="22"/>
          <w:lang w:val="es-ES"/>
        </w:rPr>
        <w:t>compromiso que fue adquirido por Chile. En forma paralela, los ministros participantes en</w:t>
      </w:r>
      <w:r w:rsidR="00AD77DC">
        <w:rPr>
          <w:rFonts w:cs="LucidaSansUnicode"/>
          <w:kern w:val="0"/>
          <w:sz w:val="22"/>
          <w:szCs w:val="22"/>
          <w:lang w:val="es-ES"/>
        </w:rPr>
        <w:t xml:space="preserve"> </w:t>
      </w:r>
      <w:r w:rsidRPr="00AD77DC">
        <w:rPr>
          <w:rFonts w:cs="LucidaSansUnicode"/>
          <w:kern w:val="0"/>
          <w:sz w:val="22"/>
          <w:szCs w:val="22"/>
          <w:lang w:val="es-ES"/>
        </w:rPr>
        <w:t>el Foro de Cooperación Económica Asia-Pacífico (APEC) propusieron que para el año 2006</w:t>
      </w:r>
      <w:r w:rsidR="00AD77DC">
        <w:rPr>
          <w:rFonts w:cs="LucidaSansUnicode"/>
          <w:kern w:val="0"/>
          <w:sz w:val="22"/>
          <w:szCs w:val="22"/>
          <w:lang w:val="es-ES"/>
        </w:rPr>
        <w:t xml:space="preserve"> </w:t>
      </w:r>
      <w:r w:rsidRPr="00AD77DC">
        <w:rPr>
          <w:rFonts w:cs="LucidaSansUnicode"/>
          <w:kern w:val="0"/>
          <w:sz w:val="22"/>
          <w:szCs w:val="22"/>
          <w:lang w:val="es-ES"/>
        </w:rPr>
        <w:t>el GHS debía ponerse en marcha, a título voluntario, en el mayor número posible de</w:t>
      </w:r>
      <w:r w:rsidR="00AD77DC">
        <w:rPr>
          <w:rFonts w:cs="LucidaSansUnicode"/>
          <w:kern w:val="0"/>
          <w:sz w:val="22"/>
          <w:szCs w:val="22"/>
          <w:lang w:val="es-ES"/>
        </w:rPr>
        <w:t xml:space="preserve"> </w:t>
      </w:r>
      <w:r w:rsidRPr="00AD77DC">
        <w:rPr>
          <w:rFonts w:cs="LucidaSansUnicode"/>
          <w:kern w:val="0"/>
          <w:sz w:val="22"/>
          <w:szCs w:val="22"/>
          <w:lang w:val="es-ES"/>
        </w:rPr>
        <w:t>economías del APEC.</w:t>
      </w:r>
      <w:r w:rsidR="00AD77DC" w:rsidRPr="00AD77DC">
        <w:rPr>
          <w:rFonts w:cs="LucidaSansUnicode"/>
          <w:kern w:val="0"/>
          <w:sz w:val="22"/>
          <w:szCs w:val="22"/>
          <w:lang w:val="es-ES"/>
        </w:rPr>
        <w:t xml:space="preserve"> Además, </w:t>
      </w:r>
      <w:r w:rsidR="00452C60" w:rsidRPr="00F50645">
        <w:rPr>
          <w:sz w:val="22"/>
          <w:szCs w:val="22"/>
        </w:rPr>
        <w:t xml:space="preserve">con el ingreso de Chile a la Organización para la Cooperación y el Desarrollo Económico (OCDE) </w:t>
      </w:r>
      <w:r w:rsidR="00B63178">
        <w:rPr>
          <w:sz w:val="22"/>
          <w:szCs w:val="22"/>
        </w:rPr>
        <w:t xml:space="preserve">en </w:t>
      </w:r>
      <w:r w:rsidR="00452C60" w:rsidRPr="00F50645">
        <w:rPr>
          <w:sz w:val="22"/>
          <w:szCs w:val="22"/>
        </w:rPr>
        <w:t>el año 2010, el país se comprometió a cumplir con los Actos emanados de dicha organización, entre ellos aquél sobre identificación y clasificación de sustancias químicas peligrosas para la salud y medio ambiente a través de</w:t>
      </w:r>
      <w:r w:rsidR="00AD57D2" w:rsidRPr="00F50645">
        <w:rPr>
          <w:sz w:val="22"/>
          <w:szCs w:val="22"/>
        </w:rPr>
        <w:t>l</w:t>
      </w:r>
      <w:r w:rsidR="00452C60" w:rsidRPr="00F50645">
        <w:rPr>
          <w:sz w:val="22"/>
          <w:szCs w:val="22"/>
        </w:rPr>
        <w:t xml:space="preserve"> GHS, antes de fines del 2013. </w:t>
      </w:r>
      <w:r w:rsidR="00434071" w:rsidRPr="00F50645">
        <w:rPr>
          <w:sz w:val="22"/>
          <w:szCs w:val="22"/>
        </w:rPr>
        <w:t>Final</w:t>
      </w:r>
      <w:r w:rsidR="004C1810" w:rsidRPr="00F50645">
        <w:rPr>
          <w:sz w:val="22"/>
          <w:szCs w:val="22"/>
        </w:rPr>
        <w:t>mente</w:t>
      </w:r>
      <w:r w:rsidR="00452C60" w:rsidRPr="00F50645">
        <w:rPr>
          <w:sz w:val="22"/>
          <w:szCs w:val="22"/>
        </w:rPr>
        <w:t>, Chile ha suscrito importantes instrumentos internacionales sobre gestión de sustancias peligrosas como el Convenio de Rotterdam, de Estocolmo y Basilea, en los que se incluye la necesidad de establecer medidas de clasificación, etiquetado y uso de hojas de seguridad. A partir de la ratificaci</w:t>
      </w:r>
      <w:r w:rsidR="00C70328" w:rsidRPr="00F50645">
        <w:rPr>
          <w:sz w:val="22"/>
          <w:szCs w:val="22"/>
        </w:rPr>
        <w:t>ón de ellos, Chile se comprometió</w:t>
      </w:r>
      <w:r w:rsidR="00452C60" w:rsidRPr="00F50645">
        <w:rPr>
          <w:sz w:val="22"/>
          <w:szCs w:val="22"/>
        </w:rPr>
        <w:t xml:space="preserve"> a aplicar medidas legislativas y administrativas necesarias para adoptarlos al ordenamiento nacional, por lo que la implementación del GHS constituye una herramienta para el cumplimiento de estos convenios.</w:t>
      </w:r>
    </w:p>
    <w:p w:rsidR="00452C60" w:rsidRDefault="00452C60" w:rsidP="00606EAC">
      <w:pPr>
        <w:autoSpaceDE w:val="0"/>
        <w:autoSpaceDN w:val="0"/>
        <w:adjustRightInd w:val="0"/>
        <w:jc w:val="both"/>
        <w:rPr>
          <w:sz w:val="22"/>
          <w:szCs w:val="22"/>
        </w:rPr>
      </w:pPr>
      <w:r w:rsidRPr="00AD77DC">
        <w:rPr>
          <w:sz w:val="22"/>
          <w:szCs w:val="22"/>
        </w:rPr>
        <w:t>Es así como la implementación de este sistema en Chile se encuentra dentro de los planes de acción establecidos en su Política Nacional de Seguridad Química del año 2008, la cual se encuentra en proceso de actualización. En ella, el Estado chileno se comprometió a adoptar el GHS al año 2013 a través de un plan gradual, que en el corto plazo (2009-2010) creara un Comité Interinstitucional para analizar el estado del país con respecto a la implementación y que difundiera y capacitara en materia de aplicación del GHS y,</w:t>
      </w:r>
      <w:r w:rsidR="00BC33D5">
        <w:rPr>
          <w:sz w:val="22"/>
          <w:szCs w:val="22"/>
        </w:rPr>
        <w:t xml:space="preserve"> que</w:t>
      </w:r>
      <w:r w:rsidRPr="00AD77DC">
        <w:rPr>
          <w:sz w:val="22"/>
          <w:szCs w:val="22"/>
        </w:rPr>
        <w:t xml:space="preserve"> en el largo</w:t>
      </w:r>
      <w:r w:rsidR="00B14652">
        <w:rPr>
          <w:sz w:val="22"/>
          <w:szCs w:val="22"/>
        </w:rPr>
        <w:t xml:space="preserve"> plazo (2011-2013), desarrollara e </w:t>
      </w:r>
      <w:r w:rsidR="00D156E1">
        <w:rPr>
          <w:sz w:val="22"/>
          <w:szCs w:val="22"/>
        </w:rPr>
        <w:t>implementar</w:t>
      </w:r>
      <w:r w:rsidRPr="00AD77DC">
        <w:rPr>
          <w:sz w:val="22"/>
          <w:szCs w:val="22"/>
        </w:rPr>
        <w:t xml:space="preserve"> un plan gradual para la puesta en marcha del nuevo sistema. La elaboración de este plan se vio reforzada tras la adjudicación, en el año 2011, de un proyecto del fondo fiduciario del Programa de Inicio Rápido del SAICM (Enfoque Estratégico para la Gestión de los Productos Químicos a Nivel Internacional) donde la implementación del GHS constituye una prioridad fundamental y en el cual se estableció un plan de trabajo de 2 años.</w:t>
      </w:r>
    </w:p>
    <w:p w:rsidR="00014FBA" w:rsidRPr="009E1651" w:rsidRDefault="00641B97" w:rsidP="00606EAC">
      <w:pPr>
        <w:autoSpaceDE w:val="0"/>
        <w:autoSpaceDN w:val="0"/>
        <w:adjustRightInd w:val="0"/>
        <w:jc w:val="both"/>
        <w:rPr>
          <w:sz w:val="22"/>
          <w:szCs w:val="22"/>
        </w:rPr>
      </w:pPr>
      <w:r>
        <w:rPr>
          <w:sz w:val="22"/>
          <w:szCs w:val="22"/>
        </w:rPr>
        <w:t>Dentro de este plan de trabajo se incluyó la elaboración de</w:t>
      </w:r>
      <w:r w:rsidR="00705DB5">
        <w:rPr>
          <w:sz w:val="22"/>
          <w:szCs w:val="22"/>
        </w:rPr>
        <w:t xml:space="preserve"> estudios técnicos que permitieran </w:t>
      </w:r>
      <w:r w:rsidR="00D10A29">
        <w:rPr>
          <w:sz w:val="22"/>
          <w:szCs w:val="22"/>
        </w:rPr>
        <w:t xml:space="preserve">definir los aspectos que </w:t>
      </w:r>
      <w:r w:rsidR="00705DB5">
        <w:rPr>
          <w:sz w:val="22"/>
          <w:szCs w:val="22"/>
        </w:rPr>
        <w:t>deberían ser</w:t>
      </w:r>
      <w:r w:rsidR="00D10A29">
        <w:rPr>
          <w:sz w:val="22"/>
          <w:szCs w:val="22"/>
        </w:rPr>
        <w:t xml:space="preserve"> incluidos </w:t>
      </w:r>
      <w:r>
        <w:rPr>
          <w:sz w:val="22"/>
          <w:szCs w:val="22"/>
        </w:rPr>
        <w:t xml:space="preserve">en la estrategia nacional de implementación de </w:t>
      </w:r>
      <w:r w:rsidR="00705DB5">
        <w:rPr>
          <w:sz w:val="22"/>
          <w:szCs w:val="22"/>
        </w:rPr>
        <w:t>GHS, dependiendo</w:t>
      </w:r>
      <w:r>
        <w:rPr>
          <w:sz w:val="22"/>
          <w:szCs w:val="22"/>
        </w:rPr>
        <w:t xml:space="preserve"> </w:t>
      </w:r>
      <w:r w:rsidR="00D10A29">
        <w:rPr>
          <w:sz w:val="22"/>
          <w:szCs w:val="22"/>
        </w:rPr>
        <w:t xml:space="preserve">del estado actual del país en el tema de gestión </w:t>
      </w:r>
      <w:r w:rsidR="00705DB5">
        <w:rPr>
          <w:sz w:val="22"/>
          <w:szCs w:val="22"/>
        </w:rPr>
        <w:t>segura</w:t>
      </w:r>
      <w:r w:rsidR="00D10A29">
        <w:rPr>
          <w:sz w:val="22"/>
          <w:szCs w:val="22"/>
        </w:rPr>
        <w:t xml:space="preserve"> de sustancias químicas</w:t>
      </w:r>
      <w:r w:rsidR="00705DB5">
        <w:rPr>
          <w:sz w:val="22"/>
          <w:szCs w:val="22"/>
        </w:rPr>
        <w:t>, en los distintos sectores involucrados en el manejo de ellas.</w:t>
      </w:r>
      <w:r w:rsidR="00D10A29">
        <w:rPr>
          <w:sz w:val="22"/>
          <w:szCs w:val="22"/>
        </w:rPr>
        <w:t xml:space="preserve"> </w:t>
      </w:r>
    </w:p>
    <w:p w:rsidR="00E25F3D" w:rsidRPr="00E551B0" w:rsidRDefault="00E25F3D" w:rsidP="00606EAC">
      <w:pPr>
        <w:spacing w:after="200"/>
        <w:rPr>
          <w:b/>
          <w:sz w:val="22"/>
          <w:szCs w:val="22"/>
          <w:highlight w:val="yellow"/>
        </w:rPr>
      </w:pPr>
      <w:r w:rsidRPr="00E551B0">
        <w:rPr>
          <w:b/>
          <w:sz w:val="22"/>
          <w:szCs w:val="22"/>
          <w:highlight w:val="yellow"/>
        </w:rPr>
        <w:br w:type="page"/>
      </w:r>
    </w:p>
    <w:p w:rsidR="00BE6EEE" w:rsidRPr="000D5FCA" w:rsidRDefault="00FC6EA4" w:rsidP="00606EAC">
      <w:pPr>
        <w:pStyle w:val="Heading1"/>
        <w:spacing w:before="0" w:after="180" w:line="264" w:lineRule="auto"/>
        <w:ind w:left="0" w:right="85" w:firstLine="0"/>
        <w:rPr>
          <w:rFonts w:asciiTheme="minorHAnsi" w:hAnsiTheme="minorHAnsi"/>
          <w:caps w:val="0"/>
          <w:lang w:val="es-CL"/>
        </w:rPr>
      </w:pPr>
      <w:bookmarkStart w:id="10" w:name="_Toc418168850"/>
      <w:bookmarkStart w:id="11" w:name="_Toc288835383"/>
      <w:bookmarkEnd w:id="8"/>
      <w:bookmarkEnd w:id="9"/>
      <w:r w:rsidRPr="000D5FCA">
        <w:rPr>
          <w:rFonts w:asciiTheme="minorHAnsi" w:hAnsiTheme="minorHAnsi"/>
          <w:caps w:val="0"/>
          <w:lang w:val="es-CL"/>
        </w:rPr>
        <w:t>OBJETIVO</w:t>
      </w:r>
      <w:r w:rsidR="000D5FCA">
        <w:rPr>
          <w:rFonts w:asciiTheme="minorHAnsi" w:hAnsiTheme="minorHAnsi"/>
          <w:caps w:val="0"/>
          <w:lang w:val="es-CL"/>
        </w:rPr>
        <w:t>S</w:t>
      </w:r>
      <w:bookmarkEnd w:id="10"/>
    </w:p>
    <w:p w:rsidR="00F6612B" w:rsidRPr="000A180D" w:rsidRDefault="00F6612B" w:rsidP="00606EAC">
      <w:pPr>
        <w:tabs>
          <w:tab w:val="left" w:pos="142"/>
        </w:tabs>
        <w:autoSpaceDE w:val="0"/>
        <w:autoSpaceDN w:val="0"/>
        <w:adjustRightInd w:val="0"/>
        <w:rPr>
          <w:rFonts w:cs="LucidaSansUnicode"/>
          <w:kern w:val="0"/>
          <w:sz w:val="22"/>
          <w:szCs w:val="22"/>
          <w:lang w:val="es-CL"/>
        </w:rPr>
      </w:pPr>
      <w:r w:rsidRPr="000A180D">
        <w:rPr>
          <w:rFonts w:cs="LucidaSansUnicode"/>
          <w:kern w:val="0"/>
          <w:sz w:val="22"/>
          <w:szCs w:val="22"/>
          <w:lang w:val="es-CL"/>
        </w:rPr>
        <w:t>A continuación se presentan los o</w:t>
      </w:r>
      <w:r w:rsidR="00D709C0" w:rsidRPr="000A180D">
        <w:rPr>
          <w:rFonts w:cs="LucidaSansUnicode"/>
          <w:kern w:val="0"/>
          <w:sz w:val="22"/>
          <w:szCs w:val="22"/>
          <w:lang w:val="es-CL"/>
        </w:rPr>
        <w:t>bjetivos</w:t>
      </w:r>
      <w:r w:rsidR="00FD776F" w:rsidRPr="000A180D">
        <w:rPr>
          <w:rFonts w:cs="LucidaSansUnicode"/>
          <w:kern w:val="0"/>
          <w:sz w:val="22"/>
          <w:szCs w:val="22"/>
          <w:lang w:val="es-CL"/>
        </w:rPr>
        <w:t>,</w:t>
      </w:r>
      <w:r w:rsidR="00D709C0" w:rsidRPr="000A180D">
        <w:rPr>
          <w:rFonts w:cs="LucidaSansUnicode"/>
          <w:kern w:val="0"/>
          <w:sz w:val="22"/>
          <w:szCs w:val="22"/>
          <w:lang w:val="es-CL"/>
        </w:rPr>
        <w:t xml:space="preserve"> general y específicos</w:t>
      </w:r>
      <w:r w:rsidR="00FD776F" w:rsidRPr="000A180D">
        <w:rPr>
          <w:rFonts w:cs="LucidaSansUnicode"/>
          <w:kern w:val="0"/>
          <w:sz w:val="22"/>
          <w:szCs w:val="22"/>
          <w:lang w:val="es-CL"/>
        </w:rPr>
        <w:t>,</w:t>
      </w:r>
      <w:r w:rsidR="00D709C0" w:rsidRPr="000A180D">
        <w:rPr>
          <w:rFonts w:cs="LucidaSansUnicode"/>
          <w:kern w:val="0"/>
          <w:sz w:val="22"/>
          <w:szCs w:val="22"/>
          <w:lang w:val="es-CL"/>
        </w:rPr>
        <w:t xml:space="preserve"> del presente informe</w:t>
      </w:r>
      <w:r w:rsidR="00B469AB" w:rsidRPr="000A180D">
        <w:rPr>
          <w:rFonts w:cs="LucidaSansUnicode"/>
          <w:kern w:val="0"/>
          <w:sz w:val="22"/>
          <w:szCs w:val="22"/>
          <w:lang w:val="es-CL"/>
        </w:rPr>
        <w:t>.</w:t>
      </w:r>
    </w:p>
    <w:p w:rsidR="00F6612B" w:rsidRPr="000A180D" w:rsidRDefault="00F6612B" w:rsidP="00606EAC">
      <w:pPr>
        <w:pStyle w:val="Heading2"/>
        <w:spacing w:before="0" w:after="180"/>
        <w:ind w:left="0" w:right="85" w:firstLine="0"/>
        <w:rPr>
          <w:lang w:val="es-CL"/>
        </w:rPr>
      </w:pPr>
      <w:bookmarkStart w:id="12" w:name="_Toc418168851"/>
      <w:bookmarkStart w:id="13" w:name="OLE_LINK15"/>
      <w:bookmarkStart w:id="14" w:name="OLE_LINK16"/>
      <w:r w:rsidRPr="000A180D">
        <w:rPr>
          <w:lang w:val="es-CL"/>
        </w:rPr>
        <w:t>Objetivo General</w:t>
      </w:r>
      <w:bookmarkEnd w:id="12"/>
    </w:p>
    <w:bookmarkEnd w:id="13"/>
    <w:bookmarkEnd w:id="14"/>
    <w:p w:rsidR="00F6612B" w:rsidRPr="000A180D" w:rsidRDefault="00326498" w:rsidP="00606EAC">
      <w:pPr>
        <w:jc w:val="both"/>
        <w:rPr>
          <w:rFonts w:cs="LucidaSansUnicode"/>
          <w:kern w:val="0"/>
          <w:sz w:val="22"/>
          <w:szCs w:val="22"/>
          <w:lang w:val="es-CL"/>
        </w:rPr>
      </w:pPr>
      <w:r w:rsidRPr="000A180D">
        <w:rPr>
          <w:rFonts w:cs="LucidaSansUnicode"/>
          <w:kern w:val="0"/>
          <w:sz w:val="22"/>
          <w:szCs w:val="22"/>
          <w:lang w:val="es-CL"/>
        </w:rPr>
        <w:t xml:space="preserve">Elaborar la Estrategia Nacional para la </w:t>
      </w:r>
      <w:r w:rsidR="00675AC0">
        <w:rPr>
          <w:rFonts w:cs="LucidaSansUnicode"/>
          <w:kern w:val="0"/>
          <w:sz w:val="22"/>
          <w:szCs w:val="22"/>
          <w:lang w:val="es-CL"/>
        </w:rPr>
        <w:t>I</w:t>
      </w:r>
      <w:r w:rsidRPr="000A180D">
        <w:rPr>
          <w:rFonts w:cs="LucidaSansUnicode"/>
          <w:kern w:val="0"/>
          <w:sz w:val="22"/>
          <w:szCs w:val="22"/>
          <w:lang w:val="es-CL"/>
        </w:rPr>
        <w:t>mplementación del GHS en Chile.</w:t>
      </w:r>
    </w:p>
    <w:p w:rsidR="00CC5504" w:rsidRPr="000A180D" w:rsidRDefault="00CC5504" w:rsidP="00606EAC">
      <w:pPr>
        <w:pStyle w:val="Heading2"/>
        <w:spacing w:before="0" w:after="180"/>
        <w:ind w:left="0" w:right="85" w:firstLine="0"/>
        <w:rPr>
          <w:lang w:val="es-CL"/>
        </w:rPr>
      </w:pPr>
      <w:bookmarkStart w:id="15" w:name="_Toc418168852"/>
      <w:r w:rsidRPr="000A180D">
        <w:rPr>
          <w:lang w:val="es-CL"/>
        </w:rPr>
        <w:t>Objetivos Específicos</w:t>
      </w:r>
      <w:bookmarkEnd w:id="15"/>
    </w:p>
    <w:p w:rsidR="000A180D" w:rsidRDefault="000A180D" w:rsidP="00D4302C">
      <w:pPr>
        <w:pStyle w:val="ListParagraph"/>
        <w:numPr>
          <w:ilvl w:val="0"/>
          <w:numId w:val="28"/>
        </w:numPr>
        <w:contextualSpacing w:val="0"/>
        <w:jc w:val="both"/>
        <w:rPr>
          <w:sz w:val="22"/>
          <w:szCs w:val="22"/>
          <w:lang w:val="es-CL"/>
        </w:rPr>
      </w:pPr>
      <w:r w:rsidRPr="000A180D">
        <w:rPr>
          <w:sz w:val="22"/>
          <w:szCs w:val="22"/>
          <w:lang w:val="es-CL"/>
        </w:rPr>
        <w:t>Recopilar antecedentes sobre la implementación del GHS como material de apoyo, experiencias internacionales</w:t>
      </w:r>
      <w:r w:rsidR="00FA7129">
        <w:rPr>
          <w:sz w:val="22"/>
          <w:szCs w:val="22"/>
          <w:lang w:val="es-CL"/>
        </w:rPr>
        <w:t>, revisión de documentación</w:t>
      </w:r>
      <w:r w:rsidR="00675AC0">
        <w:rPr>
          <w:sz w:val="22"/>
          <w:szCs w:val="22"/>
          <w:lang w:val="es-CL"/>
        </w:rPr>
        <w:t xml:space="preserve"> disponible</w:t>
      </w:r>
      <w:r w:rsidR="00FA7129">
        <w:rPr>
          <w:sz w:val="22"/>
          <w:szCs w:val="22"/>
          <w:lang w:val="es-CL"/>
        </w:rPr>
        <w:t xml:space="preserve"> y </w:t>
      </w:r>
      <w:r w:rsidRPr="000A180D">
        <w:rPr>
          <w:sz w:val="22"/>
          <w:szCs w:val="22"/>
          <w:lang w:val="es-CL"/>
        </w:rPr>
        <w:t>avances alcanzados en Chile a la fecha.</w:t>
      </w:r>
    </w:p>
    <w:p w:rsidR="00326498" w:rsidRPr="00A60B47" w:rsidRDefault="000A180D" w:rsidP="00D4302C">
      <w:pPr>
        <w:pStyle w:val="ListParagraph"/>
        <w:numPr>
          <w:ilvl w:val="0"/>
          <w:numId w:val="28"/>
        </w:numPr>
        <w:contextualSpacing w:val="0"/>
        <w:jc w:val="both"/>
        <w:rPr>
          <w:sz w:val="22"/>
          <w:szCs w:val="22"/>
          <w:lang w:val="es-CL"/>
        </w:rPr>
      </w:pPr>
      <w:r>
        <w:rPr>
          <w:sz w:val="22"/>
          <w:szCs w:val="22"/>
          <w:lang w:val="es-CL"/>
        </w:rPr>
        <w:t xml:space="preserve">Desarrollar el diagnóstico técnico </w:t>
      </w:r>
      <w:r w:rsidRPr="000A180D">
        <w:rPr>
          <w:sz w:val="22"/>
          <w:szCs w:val="22"/>
          <w:lang w:val="es-CL"/>
        </w:rPr>
        <w:t xml:space="preserve">de </w:t>
      </w:r>
      <w:r w:rsidR="004929A4" w:rsidRPr="000A180D">
        <w:rPr>
          <w:sz w:val="22"/>
          <w:szCs w:val="22"/>
          <w:lang w:val="es-CL"/>
        </w:rPr>
        <w:t>la situación actual con respecto a la implementación del GHS</w:t>
      </w:r>
      <w:r w:rsidRPr="000A180D">
        <w:rPr>
          <w:sz w:val="22"/>
          <w:szCs w:val="22"/>
          <w:lang w:val="es-CL"/>
        </w:rPr>
        <w:t xml:space="preserve"> en el país</w:t>
      </w:r>
      <w:r>
        <w:rPr>
          <w:sz w:val="22"/>
          <w:szCs w:val="22"/>
          <w:lang w:val="es-CL"/>
        </w:rPr>
        <w:t xml:space="preserve"> y una propuesta</w:t>
      </w:r>
      <w:r w:rsidR="00424D0D">
        <w:rPr>
          <w:sz w:val="22"/>
          <w:szCs w:val="22"/>
          <w:lang w:val="es-CL"/>
        </w:rPr>
        <w:t xml:space="preserve"> de acciones</w:t>
      </w:r>
      <w:r>
        <w:rPr>
          <w:sz w:val="22"/>
          <w:szCs w:val="22"/>
          <w:lang w:val="es-CL"/>
        </w:rPr>
        <w:t xml:space="preserve"> para solventar las brechas </w:t>
      </w:r>
      <w:r w:rsidRPr="00A60B47">
        <w:rPr>
          <w:sz w:val="22"/>
          <w:szCs w:val="22"/>
          <w:lang w:val="es-CL"/>
        </w:rPr>
        <w:t>identificadas</w:t>
      </w:r>
      <w:r w:rsidR="00424D0D">
        <w:rPr>
          <w:sz w:val="22"/>
          <w:szCs w:val="22"/>
          <w:lang w:val="es-CL"/>
        </w:rPr>
        <w:t>,</w:t>
      </w:r>
      <w:r w:rsidRPr="00A60B47">
        <w:rPr>
          <w:sz w:val="22"/>
          <w:szCs w:val="22"/>
          <w:lang w:val="es-CL"/>
        </w:rPr>
        <w:t xml:space="preserve"> factibles de cumplir en los plazos de la presente asesoría.</w:t>
      </w:r>
    </w:p>
    <w:p w:rsidR="000A180D" w:rsidRPr="00A60B47" w:rsidRDefault="000A180D" w:rsidP="00D4302C">
      <w:pPr>
        <w:pStyle w:val="ListParagraph"/>
        <w:numPr>
          <w:ilvl w:val="0"/>
          <w:numId w:val="28"/>
        </w:numPr>
        <w:autoSpaceDE w:val="0"/>
        <w:autoSpaceDN w:val="0"/>
        <w:adjustRightInd w:val="0"/>
        <w:contextualSpacing w:val="0"/>
        <w:jc w:val="both"/>
        <w:rPr>
          <w:rFonts w:cs="LucidaSansUnicode"/>
          <w:kern w:val="0"/>
          <w:sz w:val="22"/>
          <w:szCs w:val="22"/>
          <w:lang w:val="es-ES"/>
        </w:rPr>
      </w:pPr>
      <w:r w:rsidRPr="00A60B47">
        <w:rPr>
          <w:rFonts w:cs="LucidaSansUnicode"/>
          <w:kern w:val="0"/>
          <w:sz w:val="22"/>
          <w:szCs w:val="22"/>
          <w:lang w:val="es-ES"/>
        </w:rPr>
        <w:t>Documentar la infraestructura nacional existente y las capacidades para la clasificación y comunicación de peligros químicos relacionados con la implementación del GHS</w:t>
      </w:r>
      <w:r w:rsidR="00FA7129" w:rsidRPr="00A60B47">
        <w:rPr>
          <w:rFonts w:cs="LucidaSansUnicode"/>
          <w:kern w:val="0"/>
          <w:sz w:val="22"/>
          <w:szCs w:val="22"/>
          <w:lang w:val="es-ES"/>
        </w:rPr>
        <w:t xml:space="preserve"> </w:t>
      </w:r>
      <w:r w:rsidR="00A60B47" w:rsidRPr="00A60B47">
        <w:rPr>
          <w:rFonts w:cs="LucidaSansUnicode"/>
          <w:kern w:val="0"/>
          <w:sz w:val="22"/>
          <w:szCs w:val="22"/>
          <w:lang w:val="es-ES"/>
        </w:rPr>
        <w:t xml:space="preserve">y realizar comparación entre situación existente con la situación ideal para la aplicación del GHS </w:t>
      </w:r>
      <w:r w:rsidR="00FA7129" w:rsidRPr="00A60B47">
        <w:rPr>
          <w:rFonts w:cs="LucidaSansUnicode"/>
          <w:kern w:val="0"/>
          <w:sz w:val="22"/>
          <w:szCs w:val="22"/>
          <w:lang w:val="es-ES"/>
        </w:rPr>
        <w:t>(análisis de situación y vacíos).</w:t>
      </w:r>
    </w:p>
    <w:p w:rsidR="008C080E" w:rsidRPr="00FA7129" w:rsidRDefault="00FA7129" w:rsidP="00D4302C">
      <w:pPr>
        <w:pStyle w:val="ListParagraph"/>
        <w:numPr>
          <w:ilvl w:val="0"/>
          <w:numId w:val="28"/>
        </w:numPr>
        <w:autoSpaceDE w:val="0"/>
        <w:autoSpaceDN w:val="0"/>
        <w:adjustRightInd w:val="0"/>
        <w:contextualSpacing w:val="0"/>
        <w:jc w:val="both"/>
        <w:rPr>
          <w:rFonts w:cs="LucidaSansUnicode"/>
          <w:kern w:val="0"/>
          <w:sz w:val="22"/>
          <w:szCs w:val="22"/>
          <w:lang w:val="es-ES"/>
        </w:rPr>
      </w:pPr>
      <w:r w:rsidRPr="00FA7129">
        <w:rPr>
          <w:rFonts w:cs="LucidaSansUnicode"/>
          <w:kern w:val="0"/>
          <w:sz w:val="22"/>
          <w:szCs w:val="22"/>
          <w:lang w:val="es-ES"/>
        </w:rPr>
        <w:t xml:space="preserve">Definir los aspectos técnicos </w:t>
      </w:r>
      <w:r w:rsidR="00E34E83">
        <w:rPr>
          <w:rFonts w:cs="LucidaSansUnicode"/>
          <w:kern w:val="0"/>
          <w:sz w:val="22"/>
          <w:szCs w:val="22"/>
          <w:lang w:val="es-ES"/>
        </w:rPr>
        <w:t>a considerar</w:t>
      </w:r>
      <w:r w:rsidRPr="00FA7129">
        <w:rPr>
          <w:rFonts w:cs="LucidaSansUnicode"/>
          <w:kern w:val="0"/>
          <w:sz w:val="22"/>
          <w:szCs w:val="22"/>
          <w:lang w:val="es-ES"/>
        </w:rPr>
        <w:t xml:space="preserve"> </w:t>
      </w:r>
      <w:r w:rsidR="00954FD7" w:rsidRPr="00FA7129">
        <w:rPr>
          <w:sz w:val="22"/>
          <w:szCs w:val="22"/>
          <w:lang w:val="es-CL"/>
        </w:rPr>
        <w:t>para la el</w:t>
      </w:r>
      <w:r w:rsidR="008C080E" w:rsidRPr="00FA7129">
        <w:rPr>
          <w:sz w:val="22"/>
          <w:szCs w:val="22"/>
          <w:lang w:val="es-CL"/>
        </w:rPr>
        <w:t>aboración de la estrategia de implementación.</w:t>
      </w:r>
    </w:p>
    <w:p w:rsidR="00954FD7" w:rsidRPr="00FA7129" w:rsidRDefault="00954FD7" w:rsidP="00D4302C">
      <w:pPr>
        <w:pStyle w:val="ListParagraph"/>
        <w:numPr>
          <w:ilvl w:val="0"/>
          <w:numId w:val="28"/>
        </w:numPr>
        <w:contextualSpacing w:val="0"/>
        <w:jc w:val="both"/>
        <w:rPr>
          <w:sz w:val="22"/>
          <w:szCs w:val="22"/>
          <w:lang w:val="es-CL"/>
        </w:rPr>
      </w:pPr>
      <w:r w:rsidRPr="00FA7129">
        <w:rPr>
          <w:sz w:val="22"/>
          <w:szCs w:val="22"/>
          <w:lang w:val="es-CL"/>
        </w:rPr>
        <w:t xml:space="preserve">Elaborar </w:t>
      </w:r>
      <w:r w:rsidR="00FA7129" w:rsidRPr="00FA7129">
        <w:rPr>
          <w:sz w:val="22"/>
          <w:szCs w:val="22"/>
          <w:lang w:val="es-CL"/>
        </w:rPr>
        <w:t>la</w:t>
      </w:r>
      <w:r w:rsidRPr="00FA7129">
        <w:rPr>
          <w:sz w:val="22"/>
          <w:szCs w:val="22"/>
          <w:lang w:val="es-CL"/>
        </w:rPr>
        <w:t xml:space="preserve"> estrategia de implementación que incluya las directrices concretas necesarias de ejecutar, detallando objetivos, metas </w:t>
      </w:r>
      <w:r w:rsidR="005154E0" w:rsidRPr="00FA7129">
        <w:rPr>
          <w:sz w:val="22"/>
          <w:szCs w:val="22"/>
          <w:lang w:val="es-CL"/>
        </w:rPr>
        <w:t>y actividades</w:t>
      </w:r>
      <w:r w:rsidR="004A1431">
        <w:rPr>
          <w:sz w:val="22"/>
          <w:szCs w:val="22"/>
        </w:rPr>
        <w:t>.</w:t>
      </w:r>
    </w:p>
    <w:p w:rsidR="00236AAB" w:rsidRPr="00E551B0" w:rsidRDefault="00236AAB" w:rsidP="00606EAC">
      <w:pPr>
        <w:pStyle w:val="ListParagraph"/>
        <w:ind w:left="0"/>
        <w:contextualSpacing w:val="0"/>
        <w:jc w:val="both"/>
        <w:rPr>
          <w:sz w:val="22"/>
          <w:szCs w:val="22"/>
          <w:highlight w:val="yellow"/>
          <w:lang w:val="es-CL"/>
        </w:rPr>
      </w:pPr>
    </w:p>
    <w:p w:rsidR="00E25F3D" w:rsidRPr="00E551B0" w:rsidRDefault="00E25F3D" w:rsidP="00606EAC">
      <w:pPr>
        <w:pStyle w:val="ListParagraph"/>
        <w:ind w:left="0"/>
        <w:contextualSpacing w:val="0"/>
        <w:jc w:val="both"/>
        <w:rPr>
          <w:sz w:val="22"/>
          <w:szCs w:val="22"/>
          <w:highlight w:val="yellow"/>
          <w:lang w:val="es-CL"/>
        </w:rPr>
      </w:pPr>
      <w:bookmarkStart w:id="16" w:name="OLE_LINK2"/>
      <w:bookmarkStart w:id="17" w:name="OLE_LINK3"/>
      <w:bookmarkEnd w:id="11"/>
      <w:r w:rsidRPr="00E551B0">
        <w:rPr>
          <w:highlight w:val="yellow"/>
          <w:lang w:val="es-CL"/>
        </w:rPr>
        <w:br w:type="page"/>
      </w:r>
    </w:p>
    <w:p w:rsidR="00E25F3D" w:rsidRPr="000D5FCA" w:rsidRDefault="00C97E7C" w:rsidP="00606EAC">
      <w:pPr>
        <w:pStyle w:val="Heading1"/>
        <w:spacing w:before="180" w:after="180" w:line="264" w:lineRule="auto"/>
        <w:ind w:left="0" w:firstLine="0"/>
        <w:rPr>
          <w:rFonts w:asciiTheme="minorHAnsi" w:hAnsiTheme="minorHAnsi"/>
          <w:caps w:val="0"/>
          <w:lang w:val="es-CL"/>
        </w:rPr>
      </w:pPr>
      <w:bookmarkStart w:id="18" w:name="_Toc418168853"/>
      <w:bookmarkEnd w:id="16"/>
      <w:bookmarkEnd w:id="17"/>
      <w:r w:rsidRPr="000D5FCA">
        <w:rPr>
          <w:rFonts w:asciiTheme="minorHAnsi" w:hAnsiTheme="minorHAnsi"/>
          <w:caps w:val="0"/>
          <w:lang w:val="es-CL"/>
        </w:rPr>
        <w:t>A</w:t>
      </w:r>
      <w:r w:rsidR="000D5FCA">
        <w:rPr>
          <w:rFonts w:asciiTheme="minorHAnsi" w:hAnsiTheme="minorHAnsi"/>
          <w:caps w:val="0"/>
        </w:rPr>
        <w:t>NTECDENTES SOBRE IMPLEMENTACIÓN DEL GHS</w:t>
      </w:r>
      <w:bookmarkEnd w:id="18"/>
    </w:p>
    <w:p w:rsidR="004E5EB0" w:rsidRPr="004E5EB0" w:rsidRDefault="00D81F4F" w:rsidP="00606EAC">
      <w:pPr>
        <w:jc w:val="both"/>
        <w:rPr>
          <w:sz w:val="22"/>
          <w:szCs w:val="22"/>
          <w:lang w:val="es-CL"/>
        </w:rPr>
      </w:pPr>
      <w:r>
        <w:rPr>
          <w:sz w:val="22"/>
          <w:szCs w:val="22"/>
          <w:lang w:val="es-CL"/>
        </w:rPr>
        <w:t>Se</w:t>
      </w:r>
      <w:r w:rsidR="004E5EB0" w:rsidRPr="004E5EB0">
        <w:rPr>
          <w:sz w:val="22"/>
          <w:szCs w:val="22"/>
          <w:lang w:val="es-CL"/>
        </w:rPr>
        <w:t xml:space="preserve"> recopil</w:t>
      </w:r>
      <w:r>
        <w:rPr>
          <w:sz w:val="22"/>
          <w:szCs w:val="22"/>
          <w:lang w:val="es-CL"/>
        </w:rPr>
        <w:t xml:space="preserve">ó </w:t>
      </w:r>
      <w:r w:rsidR="004E5EB0" w:rsidRPr="004E5EB0">
        <w:rPr>
          <w:sz w:val="22"/>
          <w:szCs w:val="22"/>
          <w:lang w:val="es-CL"/>
        </w:rPr>
        <w:t xml:space="preserve">información pertinente a la implementación del GHS tanto a nivel nacional como internacional, con el fin de conocer las disposiciones, recomendaciones, instancias de cooperación, materiales de apoyo existentes, </w:t>
      </w:r>
      <w:r w:rsidR="004E4FBF">
        <w:rPr>
          <w:sz w:val="22"/>
          <w:szCs w:val="22"/>
          <w:lang w:val="es-CL"/>
        </w:rPr>
        <w:t xml:space="preserve">acuerdos y </w:t>
      </w:r>
      <w:r w:rsidR="004E5EB0" w:rsidRPr="004E5EB0">
        <w:rPr>
          <w:sz w:val="22"/>
          <w:szCs w:val="22"/>
          <w:lang w:val="es-CL"/>
        </w:rPr>
        <w:t>avances alcanzados y experiencias en otros países para lograr una implementación efectiva del sistema</w:t>
      </w:r>
      <w:r w:rsidR="004E4FBF">
        <w:rPr>
          <w:sz w:val="22"/>
          <w:szCs w:val="22"/>
          <w:lang w:val="es-CL"/>
        </w:rPr>
        <w:t>, información que será la base para desarrollar las actividades de diagnóstico técnico de la situación actual y elaboración de la estrategia de aplicación del GHS en el país.</w:t>
      </w:r>
    </w:p>
    <w:p w:rsidR="00960475" w:rsidRDefault="00C97E7C" w:rsidP="00606EAC">
      <w:pPr>
        <w:pStyle w:val="Heading2"/>
        <w:spacing w:before="0" w:after="180"/>
        <w:ind w:left="0" w:firstLine="0"/>
        <w:rPr>
          <w:lang w:val="es-CL"/>
        </w:rPr>
      </w:pPr>
      <w:bookmarkStart w:id="19" w:name="_Toc418168854"/>
      <w:r w:rsidRPr="00C97E7C">
        <w:rPr>
          <w:lang w:val="es-CL"/>
        </w:rPr>
        <w:t xml:space="preserve">Documentación </w:t>
      </w:r>
      <w:r w:rsidR="000424B1">
        <w:rPr>
          <w:lang w:val="es-CL"/>
        </w:rPr>
        <w:t xml:space="preserve">y recursos </w:t>
      </w:r>
      <w:r w:rsidRPr="00C97E7C">
        <w:rPr>
          <w:lang w:val="es-CL"/>
        </w:rPr>
        <w:t>disponible</w:t>
      </w:r>
      <w:r w:rsidR="000424B1">
        <w:rPr>
          <w:lang w:val="es-CL"/>
        </w:rPr>
        <w:t>s</w:t>
      </w:r>
      <w:r w:rsidRPr="00C97E7C">
        <w:rPr>
          <w:lang w:val="es-CL"/>
        </w:rPr>
        <w:t xml:space="preserve"> sobre GHS</w:t>
      </w:r>
      <w:bookmarkEnd w:id="19"/>
    </w:p>
    <w:p w:rsidR="004E4FBF" w:rsidRDefault="00D81F4F" w:rsidP="00606EAC">
      <w:pPr>
        <w:jc w:val="both"/>
        <w:rPr>
          <w:sz w:val="22"/>
          <w:szCs w:val="22"/>
        </w:rPr>
      </w:pPr>
      <w:bookmarkStart w:id="20" w:name="_Toc388552059"/>
      <w:r>
        <w:rPr>
          <w:sz w:val="22"/>
          <w:szCs w:val="22"/>
        </w:rPr>
        <w:t>S</w:t>
      </w:r>
      <w:r w:rsidR="004C65D0" w:rsidRPr="00B84D27">
        <w:rPr>
          <w:sz w:val="22"/>
          <w:szCs w:val="22"/>
        </w:rPr>
        <w:t xml:space="preserve">e realizó una búsqueda </w:t>
      </w:r>
      <w:r w:rsidR="004E4FBF">
        <w:rPr>
          <w:sz w:val="22"/>
          <w:szCs w:val="22"/>
        </w:rPr>
        <w:t xml:space="preserve">de información mediante la </w:t>
      </w:r>
      <w:r w:rsidR="004C65D0" w:rsidRPr="00B84D27">
        <w:rPr>
          <w:sz w:val="22"/>
          <w:szCs w:val="22"/>
        </w:rPr>
        <w:t>Web utilizando palabras clave</w:t>
      </w:r>
      <w:r w:rsidR="004E4FBF">
        <w:rPr>
          <w:sz w:val="22"/>
          <w:szCs w:val="22"/>
        </w:rPr>
        <w:t>s</w:t>
      </w:r>
      <w:r w:rsidR="004C65D0" w:rsidRPr="00B84D27">
        <w:rPr>
          <w:sz w:val="22"/>
          <w:szCs w:val="22"/>
        </w:rPr>
        <w:t xml:space="preserve"> como GHS, sistema globalment</w:t>
      </w:r>
      <w:r w:rsidR="004E4FBF">
        <w:rPr>
          <w:sz w:val="22"/>
          <w:szCs w:val="22"/>
        </w:rPr>
        <w:t>e armonizado</w:t>
      </w:r>
      <w:r w:rsidR="00897DCD">
        <w:rPr>
          <w:sz w:val="22"/>
          <w:szCs w:val="22"/>
        </w:rPr>
        <w:t>, implementación del GHS y otras similares.</w:t>
      </w:r>
    </w:p>
    <w:p w:rsidR="004C65D0" w:rsidRPr="00B84D27" w:rsidRDefault="004C65D0" w:rsidP="00606EAC">
      <w:pPr>
        <w:jc w:val="both"/>
        <w:rPr>
          <w:sz w:val="22"/>
          <w:szCs w:val="22"/>
        </w:rPr>
      </w:pPr>
      <w:r w:rsidRPr="00B84D27">
        <w:rPr>
          <w:sz w:val="22"/>
          <w:szCs w:val="22"/>
        </w:rPr>
        <w:t>Los resultados de los documentos más relevantes identificados se presentan a continuación:</w:t>
      </w:r>
      <w:bookmarkEnd w:id="20"/>
    </w:p>
    <w:p w:rsidR="004C65D0" w:rsidRPr="004C65D0" w:rsidRDefault="002851D9" w:rsidP="00743404">
      <w:pPr>
        <w:pStyle w:val="Heading3"/>
        <w:tabs>
          <w:tab w:val="left" w:pos="142"/>
        </w:tabs>
        <w:spacing w:line="264" w:lineRule="auto"/>
        <w:ind w:left="709"/>
      </w:pPr>
      <w:bookmarkStart w:id="21" w:name="_Toc418168855"/>
      <w:r>
        <w:t>UNITAR</w:t>
      </w:r>
      <w:bookmarkEnd w:id="21"/>
    </w:p>
    <w:p w:rsidR="004C65D0" w:rsidRPr="00B84D27" w:rsidRDefault="004C65D0" w:rsidP="00606EAC">
      <w:pPr>
        <w:jc w:val="both"/>
        <w:rPr>
          <w:sz w:val="22"/>
          <w:szCs w:val="22"/>
        </w:rPr>
      </w:pPr>
      <w:bookmarkStart w:id="22" w:name="_Toc388552061"/>
      <w:r w:rsidRPr="00B84D27">
        <w:rPr>
          <w:sz w:val="22"/>
          <w:szCs w:val="22"/>
        </w:rPr>
        <w:t>La página web de UNITAR para la implementación del GHS (http://www.unitar.org/cwm/es/sistema-globalmente-armonizado-de-clasificacion-y-etiquetado-de-productos-quimicos), es una excelente fuente de información, pudiendo obtener documentos sobre orientación, materiales educativos y recursos de sensibilización y capacitación sobre el GHS. Entre los temas más importantes se encuentran: desarrollo de estrategias de implementación del GHS a nivel nacional, legislación, análisis de situación y vacíos, peligros químicos, etiquetas, fichas de datos de seguridad (FDS), así como medidas de apoyo, tales como pruebas de comprensión.</w:t>
      </w:r>
      <w:bookmarkEnd w:id="22"/>
      <w:r w:rsidRPr="00B84D27">
        <w:rPr>
          <w:sz w:val="22"/>
          <w:szCs w:val="22"/>
        </w:rPr>
        <w:t xml:space="preserve"> </w:t>
      </w:r>
    </w:p>
    <w:p w:rsidR="004C65D0" w:rsidRDefault="004C65D0" w:rsidP="00606EAC">
      <w:pPr>
        <w:jc w:val="both"/>
        <w:rPr>
          <w:sz w:val="22"/>
          <w:szCs w:val="22"/>
        </w:rPr>
      </w:pPr>
      <w:bookmarkStart w:id="23" w:name="_Toc388552062"/>
      <w:r w:rsidRPr="00B84D27">
        <w:rPr>
          <w:sz w:val="22"/>
          <w:szCs w:val="22"/>
        </w:rPr>
        <w:t xml:space="preserve">Además, destaca la creación de una </w:t>
      </w:r>
      <w:r w:rsidR="00E61C46">
        <w:rPr>
          <w:sz w:val="22"/>
          <w:szCs w:val="22"/>
        </w:rPr>
        <w:t>“</w:t>
      </w:r>
      <w:r w:rsidRPr="00E61C46">
        <w:rPr>
          <w:i/>
          <w:sz w:val="22"/>
          <w:szCs w:val="22"/>
        </w:rPr>
        <w:t>Biblioteca en línea de creación de capacidades en GHS</w:t>
      </w:r>
      <w:r w:rsidR="00E61C46">
        <w:rPr>
          <w:i/>
          <w:sz w:val="22"/>
          <w:szCs w:val="22"/>
        </w:rPr>
        <w:t>”</w:t>
      </w:r>
      <w:r w:rsidR="00E61C46">
        <w:rPr>
          <w:rStyle w:val="FootnoteReference"/>
          <w:sz w:val="22"/>
          <w:szCs w:val="22"/>
        </w:rPr>
        <w:footnoteReference w:id="1"/>
      </w:r>
      <w:r w:rsidR="00E61C46">
        <w:rPr>
          <w:sz w:val="22"/>
          <w:szCs w:val="22"/>
        </w:rPr>
        <w:t xml:space="preserve"> </w:t>
      </w:r>
      <w:r w:rsidRPr="00B84D27">
        <w:rPr>
          <w:sz w:val="22"/>
          <w:szCs w:val="22"/>
        </w:rPr>
        <w:t xml:space="preserve">donde se puede acceder a información de 32 países que tienen implementado o en proceso de implementación el GHS, </w:t>
      </w:r>
      <w:r w:rsidR="00E42BB1">
        <w:rPr>
          <w:sz w:val="22"/>
          <w:szCs w:val="22"/>
        </w:rPr>
        <w:t>estando disponibles</w:t>
      </w:r>
      <w:r w:rsidRPr="00B84D27">
        <w:rPr>
          <w:sz w:val="22"/>
          <w:szCs w:val="22"/>
        </w:rPr>
        <w:t xml:space="preserve"> documentos y legislación del periodo 1996-2007:</w:t>
      </w:r>
      <w:bookmarkEnd w:id="23"/>
    </w:p>
    <w:p w:rsidR="006D0FB7" w:rsidRDefault="006D0FB7" w:rsidP="00606EAC">
      <w:pPr>
        <w:jc w:val="both"/>
        <w:rPr>
          <w:sz w:val="22"/>
          <w:szCs w:val="22"/>
        </w:rPr>
      </w:pPr>
    </w:p>
    <w:p w:rsidR="004C65D0" w:rsidRDefault="004C65D0" w:rsidP="00606EAC">
      <w:pPr>
        <w:jc w:val="center"/>
        <w:rPr>
          <w:b/>
          <w:sz w:val="22"/>
          <w:szCs w:val="22"/>
        </w:rPr>
      </w:pPr>
      <w:r w:rsidRPr="004C65D0">
        <w:rPr>
          <w:b/>
          <w:sz w:val="22"/>
          <w:szCs w:val="22"/>
        </w:rPr>
        <w:t>Tabla 1: Países que informan avances en implementación de GHS (UNITAR, 2014)</w:t>
      </w:r>
    </w:p>
    <w:tbl>
      <w:tblPr>
        <w:tblStyle w:val="TableGrid"/>
        <w:tblW w:w="0" w:type="auto"/>
        <w:tblLook w:val="04A0" w:firstRow="1" w:lastRow="0" w:firstColumn="1" w:lastColumn="0" w:noHBand="0" w:noVBand="1"/>
      </w:tblPr>
      <w:tblGrid>
        <w:gridCol w:w="2475"/>
        <w:gridCol w:w="2479"/>
        <w:gridCol w:w="2483"/>
        <w:gridCol w:w="2476"/>
      </w:tblGrid>
      <w:tr w:rsidR="00DD24D9" w:rsidTr="00DD24D9">
        <w:tc>
          <w:tcPr>
            <w:tcW w:w="2515" w:type="dxa"/>
          </w:tcPr>
          <w:p w:rsidR="00DD24D9" w:rsidRPr="00DD24D9" w:rsidRDefault="00DD24D9" w:rsidP="00606EAC">
            <w:pPr>
              <w:contextualSpacing/>
              <w:jc w:val="center"/>
              <w:rPr>
                <w:sz w:val="22"/>
                <w:szCs w:val="22"/>
              </w:rPr>
            </w:pPr>
            <w:r w:rsidRPr="00DD24D9">
              <w:rPr>
                <w:sz w:val="22"/>
                <w:szCs w:val="22"/>
              </w:rPr>
              <w:t>Argentina</w:t>
            </w:r>
          </w:p>
        </w:tc>
        <w:tc>
          <w:tcPr>
            <w:tcW w:w="2516" w:type="dxa"/>
          </w:tcPr>
          <w:p w:rsidR="00DD24D9" w:rsidRPr="00DD24D9" w:rsidRDefault="00DD24D9" w:rsidP="00606EAC">
            <w:pPr>
              <w:contextualSpacing/>
              <w:jc w:val="center"/>
              <w:rPr>
                <w:sz w:val="22"/>
                <w:szCs w:val="22"/>
              </w:rPr>
            </w:pPr>
            <w:r w:rsidRPr="00DD24D9">
              <w:rPr>
                <w:sz w:val="22"/>
                <w:szCs w:val="22"/>
              </w:rPr>
              <w:t>Chipre</w:t>
            </w:r>
          </w:p>
        </w:tc>
        <w:tc>
          <w:tcPr>
            <w:tcW w:w="2516" w:type="dxa"/>
          </w:tcPr>
          <w:p w:rsidR="00DD24D9" w:rsidRPr="00DD24D9" w:rsidRDefault="00DD24D9" w:rsidP="00606EAC">
            <w:pPr>
              <w:contextualSpacing/>
              <w:jc w:val="center"/>
              <w:rPr>
                <w:sz w:val="22"/>
                <w:szCs w:val="22"/>
              </w:rPr>
            </w:pPr>
            <w:r w:rsidRPr="00DD24D9">
              <w:rPr>
                <w:sz w:val="22"/>
                <w:szCs w:val="22"/>
              </w:rPr>
              <w:t>Indonesia</w:t>
            </w:r>
          </w:p>
        </w:tc>
        <w:tc>
          <w:tcPr>
            <w:tcW w:w="2516" w:type="dxa"/>
          </w:tcPr>
          <w:p w:rsidR="00DD24D9" w:rsidRPr="00DD24D9" w:rsidRDefault="00DD24D9" w:rsidP="00606EAC">
            <w:pPr>
              <w:contextualSpacing/>
              <w:jc w:val="center"/>
              <w:rPr>
                <w:sz w:val="22"/>
                <w:szCs w:val="22"/>
              </w:rPr>
            </w:pPr>
            <w:r w:rsidRPr="00DD24D9">
              <w:rPr>
                <w:sz w:val="22"/>
                <w:szCs w:val="22"/>
              </w:rPr>
              <w:t>Nigeria</w:t>
            </w:r>
          </w:p>
        </w:tc>
      </w:tr>
      <w:tr w:rsidR="00DD24D9" w:rsidTr="00DD24D9">
        <w:tc>
          <w:tcPr>
            <w:tcW w:w="2515" w:type="dxa"/>
          </w:tcPr>
          <w:p w:rsidR="00DD24D9" w:rsidRPr="00DD24D9" w:rsidRDefault="00DD24D9" w:rsidP="00606EAC">
            <w:pPr>
              <w:contextualSpacing/>
              <w:jc w:val="center"/>
              <w:rPr>
                <w:sz w:val="22"/>
                <w:szCs w:val="22"/>
              </w:rPr>
            </w:pPr>
            <w:r w:rsidRPr="00DD24D9">
              <w:rPr>
                <w:sz w:val="22"/>
                <w:szCs w:val="22"/>
              </w:rPr>
              <w:t>Australia</w:t>
            </w:r>
          </w:p>
        </w:tc>
        <w:tc>
          <w:tcPr>
            <w:tcW w:w="2516" w:type="dxa"/>
          </w:tcPr>
          <w:p w:rsidR="00DD24D9" w:rsidRPr="00DD24D9" w:rsidRDefault="00DD24D9" w:rsidP="00606EAC">
            <w:pPr>
              <w:contextualSpacing/>
              <w:jc w:val="center"/>
              <w:rPr>
                <w:sz w:val="22"/>
                <w:szCs w:val="22"/>
              </w:rPr>
            </w:pPr>
            <w:r w:rsidRPr="00DD24D9">
              <w:rPr>
                <w:sz w:val="22"/>
                <w:szCs w:val="22"/>
              </w:rPr>
              <w:t>Corea</w:t>
            </w:r>
          </w:p>
        </w:tc>
        <w:tc>
          <w:tcPr>
            <w:tcW w:w="2516" w:type="dxa"/>
          </w:tcPr>
          <w:p w:rsidR="00DD24D9" w:rsidRPr="00DD24D9" w:rsidRDefault="00DD24D9" w:rsidP="00606EAC">
            <w:pPr>
              <w:contextualSpacing/>
              <w:jc w:val="center"/>
              <w:rPr>
                <w:sz w:val="22"/>
                <w:szCs w:val="22"/>
              </w:rPr>
            </w:pPr>
            <w:r w:rsidRPr="00DD24D9">
              <w:rPr>
                <w:sz w:val="22"/>
                <w:szCs w:val="22"/>
              </w:rPr>
              <w:t>Japón</w:t>
            </w:r>
          </w:p>
        </w:tc>
        <w:tc>
          <w:tcPr>
            <w:tcW w:w="2516" w:type="dxa"/>
          </w:tcPr>
          <w:p w:rsidR="00DD24D9" w:rsidRPr="00DD24D9" w:rsidRDefault="00DD24D9" w:rsidP="00606EAC">
            <w:pPr>
              <w:contextualSpacing/>
              <w:jc w:val="center"/>
              <w:rPr>
                <w:sz w:val="22"/>
                <w:szCs w:val="22"/>
              </w:rPr>
            </w:pPr>
            <w:r w:rsidRPr="00DD24D9">
              <w:rPr>
                <w:sz w:val="22"/>
                <w:szCs w:val="22"/>
              </w:rPr>
              <w:t>Reino Unido</w:t>
            </w:r>
          </w:p>
        </w:tc>
      </w:tr>
      <w:tr w:rsidR="00DD24D9" w:rsidTr="00DD24D9">
        <w:tc>
          <w:tcPr>
            <w:tcW w:w="2515" w:type="dxa"/>
          </w:tcPr>
          <w:p w:rsidR="00DD24D9" w:rsidRPr="00DD24D9" w:rsidRDefault="00DD24D9" w:rsidP="00606EAC">
            <w:pPr>
              <w:contextualSpacing/>
              <w:jc w:val="center"/>
              <w:rPr>
                <w:sz w:val="22"/>
                <w:szCs w:val="22"/>
              </w:rPr>
            </w:pPr>
            <w:r w:rsidRPr="00DD24D9">
              <w:rPr>
                <w:sz w:val="22"/>
                <w:szCs w:val="22"/>
              </w:rPr>
              <w:t>Bolivia</w:t>
            </w:r>
          </w:p>
        </w:tc>
        <w:tc>
          <w:tcPr>
            <w:tcW w:w="2516" w:type="dxa"/>
          </w:tcPr>
          <w:p w:rsidR="00DD24D9" w:rsidRPr="00DD24D9" w:rsidRDefault="00DD24D9" w:rsidP="00606EAC">
            <w:pPr>
              <w:contextualSpacing/>
              <w:jc w:val="center"/>
              <w:rPr>
                <w:sz w:val="22"/>
                <w:szCs w:val="22"/>
              </w:rPr>
            </w:pPr>
            <w:r w:rsidRPr="00DD24D9">
              <w:rPr>
                <w:sz w:val="22"/>
                <w:szCs w:val="22"/>
              </w:rPr>
              <w:t>Dinamarca</w:t>
            </w:r>
          </w:p>
        </w:tc>
        <w:tc>
          <w:tcPr>
            <w:tcW w:w="2516" w:type="dxa"/>
          </w:tcPr>
          <w:p w:rsidR="00DD24D9" w:rsidRPr="00DD24D9" w:rsidRDefault="00DD24D9" w:rsidP="00606EAC">
            <w:pPr>
              <w:contextualSpacing/>
              <w:jc w:val="center"/>
              <w:rPr>
                <w:sz w:val="22"/>
                <w:szCs w:val="22"/>
              </w:rPr>
            </w:pPr>
            <w:r w:rsidRPr="00DD24D9">
              <w:rPr>
                <w:sz w:val="22"/>
                <w:szCs w:val="22"/>
              </w:rPr>
              <w:t>Laos</w:t>
            </w:r>
          </w:p>
        </w:tc>
        <w:tc>
          <w:tcPr>
            <w:tcW w:w="2516" w:type="dxa"/>
          </w:tcPr>
          <w:p w:rsidR="00DD24D9" w:rsidRPr="00DD24D9" w:rsidRDefault="00DD24D9" w:rsidP="00606EAC">
            <w:pPr>
              <w:contextualSpacing/>
              <w:jc w:val="center"/>
              <w:rPr>
                <w:sz w:val="22"/>
                <w:szCs w:val="22"/>
              </w:rPr>
            </w:pPr>
            <w:r w:rsidRPr="00DD24D9">
              <w:rPr>
                <w:sz w:val="22"/>
                <w:szCs w:val="22"/>
              </w:rPr>
              <w:t>República Eslovaca</w:t>
            </w:r>
          </w:p>
        </w:tc>
      </w:tr>
      <w:tr w:rsidR="00DD24D9" w:rsidTr="00DD24D9">
        <w:tc>
          <w:tcPr>
            <w:tcW w:w="2515" w:type="dxa"/>
          </w:tcPr>
          <w:p w:rsidR="00DD24D9" w:rsidRPr="00DD24D9" w:rsidRDefault="00DD24D9" w:rsidP="00606EAC">
            <w:pPr>
              <w:contextualSpacing/>
              <w:jc w:val="center"/>
              <w:rPr>
                <w:sz w:val="22"/>
                <w:szCs w:val="22"/>
              </w:rPr>
            </w:pPr>
            <w:r w:rsidRPr="00DD24D9">
              <w:rPr>
                <w:sz w:val="22"/>
                <w:szCs w:val="22"/>
              </w:rPr>
              <w:t>Brasil</w:t>
            </w:r>
          </w:p>
        </w:tc>
        <w:tc>
          <w:tcPr>
            <w:tcW w:w="2516" w:type="dxa"/>
          </w:tcPr>
          <w:p w:rsidR="00DD24D9" w:rsidRPr="00DD24D9" w:rsidRDefault="00DD24D9" w:rsidP="00606EAC">
            <w:pPr>
              <w:contextualSpacing/>
              <w:jc w:val="center"/>
              <w:rPr>
                <w:sz w:val="22"/>
                <w:szCs w:val="22"/>
              </w:rPr>
            </w:pPr>
            <w:r w:rsidRPr="00DD24D9">
              <w:rPr>
                <w:sz w:val="22"/>
                <w:szCs w:val="22"/>
              </w:rPr>
              <w:t>Ecuador</w:t>
            </w:r>
          </w:p>
        </w:tc>
        <w:tc>
          <w:tcPr>
            <w:tcW w:w="2516" w:type="dxa"/>
          </w:tcPr>
          <w:p w:rsidR="00DD24D9" w:rsidRPr="00DD24D9" w:rsidRDefault="00DD24D9" w:rsidP="00606EAC">
            <w:pPr>
              <w:contextualSpacing/>
              <w:jc w:val="center"/>
              <w:rPr>
                <w:sz w:val="22"/>
                <w:szCs w:val="22"/>
              </w:rPr>
            </w:pPr>
            <w:r w:rsidRPr="00DD24D9">
              <w:rPr>
                <w:sz w:val="22"/>
                <w:szCs w:val="22"/>
              </w:rPr>
              <w:t>Madagascar</w:t>
            </w:r>
          </w:p>
        </w:tc>
        <w:tc>
          <w:tcPr>
            <w:tcW w:w="2516" w:type="dxa"/>
          </w:tcPr>
          <w:p w:rsidR="00DD24D9" w:rsidRPr="00DD24D9" w:rsidRDefault="00DD24D9" w:rsidP="00606EAC">
            <w:pPr>
              <w:contextualSpacing/>
              <w:jc w:val="center"/>
              <w:rPr>
                <w:sz w:val="22"/>
                <w:szCs w:val="22"/>
              </w:rPr>
            </w:pPr>
            <w:r w:rsidRPr="00DD24D9">
              <w:rPr>
                <w:sz w:val="22"/>
                <w:szCs w:val="22"/>
              </w:rPr>
              <w:t>Senegal</w:t>
            </w:r>
          </w:p>
        </w:tc>
      </w:tr>
      <w:tr w:rsidR="00DD24D9" w:rsidTr="00DD24D9">
        <w:tc>
          <w:tcPr>
            <w:tcW w:w="2515" w:type="dxa"/>
          </w:tcPr>
          <w:p w:rsidR="00DD24D9" w:rsidRPr="00DD24D9" w:rsidRDefault="00DD24D9" w:rsidP="00606EAC">
            <w:pPr>
              <w:contextualSpacing/>
              <w:jc w:val="center"/>
              <w:rPr>
                <w:sz w:val="22"/>
                <w:szCs w:val="22"/>
              </w:rPr>
            </w:pPr>
            <w:r w:rsidRPr="00DD24D9">
              <w:rPr>
                <w:sz w:val="22"/>
                <w:szCs w:val="22"/>
              </w:rPr>
              <w:t>Camboya</w:t>
            </w:r>
          </w:p>
        </w:tc>
        <w:tc>
          <w:tcPr>
            <w:tcW w:w="2516" w:type="dxa"/>
          </w:tcPr>
          <w:p w:rsidR="00DD24D9" w:rsidRPr="00DD24D9" w:rsidRDefault="00DD24D9" w:rsidP="00606EAC">
            <w:pPr>
              <w:contextualSpacing/>
              <w:jc w:val="center"/>
              <w:rPr>
                <w:sz w:val="22"/>
                <w:szCs w:val="22"/>
              </w:rPr>
            </w:pPr>
            <w:r w:rsidRPr="00DD24D9">
              <w:rPr>
                <w:sz w:val="22"/>
                <w:szCs w:val="22"/>
              </w:rPr>
              <w:t>Estados Unidos</w:t>
            </w:r>
          </w:p>
        </w:tc>
        <w:tc>
          <w:tcPr>
            <w:tcW w:w="2516" w:type="dxa"/>
          </w:tcPr>
          <w:p w:rsidR="00DD24D9" w:rsidRPr="00DD24D9" w:rsidRDefault="00DD24D9" w:rsidP="00606EAC">
            <w:pPr>
              <w:contextualSpacing/>
              <w:jc w:val="center"/>
              <w:rPr>
                <w:sz w:val="22"/>
                <w:szCs w:val="22"/>
              </w:rPr>
            </w:pPr>
            <w:r w:rsidRPr="00DD24D9">
              <w:rPr>
                <w:sz w:val="22"/>
                <w:szCs w:val="22"/>
              </w:rPr>
              <w:t>Malasia</w:t>
            </w:r>
          </w:p>
        </w:tc>
        <w:tc>
          <w:tcPr>
            <w:tcW w:w="2516" w:type="dxa"/>
          </w:tcPr>
          <w:p w:rsidR="00DD24D9" w:rsidRPr="00DD24D9" w:rsidRDefault="00DD24D9" w:rsidP="00606EAC">
            <w:pPr>
              <w:contextualSpacing/>
              <w:jc w:val="center"/>
              <w:rPr>
                <w:sz w:val="22"/>
                <w:szCs w:val="22"/>
              </w:rPr>
            </w:pPr>
            <w:r w:rsidRPr="00DD24D9">
              <w:rPr>
                <w:sz w:val="22"/>
                <w:szCs w:val="22"/>
              </w:rPr>
              <w:t>Singapur</w:t>
            </w:r>
          </w:p>
        </w:tc>
      </w:tr>
      <w:tr w:rsidR="00DD24D9" w:rsidTr="00DD24D9">
        <w:tc>
          <w:tcPr>
            <w:tcW w:w="2515" w:type="dxa"/>
          </w:tcPr>
          <w:p w:rsidR="00DD24D9" w:rsidRPr="00DD24D9" w:rsidRDefault="00DD24D9" w:rsidP="00606EAC">
            <w:pPr>
              <w:contextualSpacing/>
              <w:jc w:val="center"/>
              <w:rPr>
                <w:sz w:val="22"/>
                <w:szCs w:val="22"/>
              </w:rPr>
            </w:pPr>
            <w:r w:rsidRPr="00DD24D9">
              <w:rPr>
                <w:sz w:val="22"/>
                <w:szCs w:val="22"/>
              </w:rPr>
              <w:t>Canadá</w:t>
            </w:r>
          </w:p>
        </w:tc>
        <w:tc>
          <w:tcPr>
            <w:tcW w:w="2516" w:type="dxa"/>
          </w:tcPr>
          <w:p w:rsidR="00DD24D9" w:rsidRPr="00DD24D9" w:rsidRDefault="00DD24D9" w:rsidP="00606EAC">
            <w:pPr>
              <w:contextualSpacing/>
              <w:jc w:val="center"/>
              <w:rPr>
                <w:sz w:val="22"/>
                <w:szCs w:val="22"/>
              </w:rPr>
            </w:pPr>
            <w:r w:rsidRPr="00DD24D9">
              <w:rPr>
                <w:sz w:val="22"/>
                <w:szCs w:val="22"/>
              </w:rPr>
              <w:t>Filipina</w:t>
            </w:r>
          </w:p>
        </w:tc>
        <w:tc>
          <w:tcPr>
            <w:tcW w:w="2516" w:type="dxa"/>
          </w:tcPr>
          <w:p w:rsidR="00DD24D9" w:rsidRPr="00DD24D9" w:rsidRDefault="00DD24D9" w:rsidP="00606EAC">
            <w:pPr>
              <w:contextualSpacing/>
              <w:jc w:val="center"/>
              <w:rPr>
                <w:sz w:val="22"/>
                <w:szCs w:val="22"/>
              </w:rPr>
            </w:pPr>
            <w:r w:rsidRPr="00DD24D9">
              <w:rPr>
                <w:sz w:val="22"/>
                <w:szCs w:val="22"/>
              </w:rPr>
              <w:t>Mauritania</w:t>
            </w:r>
          </w:p>
        </w:tc>
        <w:tc>
          <w:tcPr>
            <w:tcW w:w="2516" w:type="dxa"/>
          </w:tcPr>
          <w:p w:rsidR="00DD24D9" w:rsidRPr="00DD24D9" w:rsidRDefault="00DD24D9" w:rsidP="00606EAC">
            <w:pPr>
              <w:contextualSpacing/>
              <w:jc w:val="center"/>
              <w:rPr>
                <w:sz w:val="22"/>
                <w:szCs w:val="22"/>
              </w:rPr>
            </w:pPr>
            <w:r w:rsidRPr="00DD24D9">
              <w:rPr>
                <w:sz w:val="22"/>
                <w:szCs w:val="22"/>
              </w:rPr>
              <w:t>Sudáfrica</w:t>
            </w:r>
          </w:p>
        </w:tc>
      </w:tr>
      <w:tr w:rsidR="00DD24D9" w:rsidTr="00DD24D9">
        <w:tc>
          <w:tcPr>
            <w:tcW w:w="2515" w:type="dxa"/>
          </w:tcPr>
          <w:p w:rsidR="00DD24D9" w:rsidRPr="00DD24D9" w:rsidRDefault="00DD24D9" w:rsidP="00606EAC">
            <w:pPr>
              <w:contextualSpacing/>
              <w:jc w:val="center"/>
              <w:rPr>
                <w:sz w:val="22"/>
                <w:szCs w:val="22"/>
              </w:rPr>
            </w:pPr>
            <w:r w:rsidRPr="00DD24D9">
              <w:rPr>
                <w:sz w:val="22"/>
                <w:szCs w:val="22"/>
              </w:rPr>
              <w:t>Chad</w:t>
            </w:r>
          </w:p>
        </w:tc>
        <w:tc>
          <w:tcPr>
            <w:tcW w:w="2516" w:type="dxa"/>
          </w:tcPr>
          <w:p w:rsidR="00DD24D9" w:rsidRPr="00DD24D9" w:rsidRDefault="00DD24D9" w:rsidP="00606EAC">
            <w:pPr>
              <w:contextualSpacing/>
              <w:jc w:val="center"/>
              <w:rPr>
                <w:sz w:val="22"/>
                <w:szCs w:val="22"/>
              </w:rPr>
            </w:pPr>
            <w:r w:rsidRPr="00DD24D9">
              <w:rPr>
                <w:sz w:val="22"/>
                <w:szCs w:val="22"/>
              </w:rPr>
              <w:t>Francia</w:t>
            </w:r>
          </w:p>
        </w:tc>
        <w:tc>
          <w:tcPr>
            <w:tcW w:w="2516" w:type="dxa"/>
          </w:tcPr>
          <w:p w:rsidR="00DD24D9" w:rsidRPr="00DD24D9" w:rsidRDefault="00DD24D9" w:rsidP="00606EAC">
            <w:pPr>
              <w:contextualSpacing/>
              <w:jc w:val="center"/>
              <w:rPr>
                <w:sz w:val="22"/>
                <w:szCs w:val="22"/>
              </w:rPr>
            </w:pPr>
            <w:r w:rsidRPr="00DD24D9">
              <w:rPr>
                <w:sz w:val="22"/>
                <w:szCs w:val="22"/>
              </w:rPr>
              <w:t>México</w:t>
            </w:r>
          </w:p>
        </w:tc>
        <w:tc>
          <w:tcPr>
            <w:tcW w:w="2516" w:type="dxa"/>
          </w:tcPr>
          <w:p w:rsidR="00DD24D9" w:rsidRPr="00DD24D9" w:rsidRDefault="00DD24D9" w:rsidP="00606EAC">
            <w:pPr>
              <w:contextualSpacing/>
              <w:jc w:val="center"/>
              <w:rPr>
                <w:sz w:val="22"/>
                <w:szCs w:val="22"/>
              </w:rPr>
            </w:pPr>
            <w:r w:rsidRPr="00DD24D9">
              <w:rPr>
                <w:sz w:val="22"/>
                <w:szCs w:val="22"/>
              </w:rPr>
              <w:t>Tailandia</w:t>
            </w:r>
          </w:p>
        </w:tc>
      </w:tr>
      <w:tr w:rsidR="00DD24D9" w:rsidTr="00DD24D9">
        <w:tc>
          <w:tcPr>
            <w:tcW w:w="2515" w:type="dxa"/>
          </w:tcPr>
          <w:p w:rsidR="00DD24D9" w:rsidRPr="00DD24D9" w:rsidRDefault="00DD24D9" w:rsidP="00606EAC">
            <w:pPr>
              <w:contextualSpacing/>
              <w:jc w:val="center"/>
              <w:rPr>
                <w:sz w:val="22"/>
                <w:szCs w:val="22"/>
              </w:rPr>
            </w:pPr>
            <w:r w:rsidRPr="00DD24D9">
              <w:rPr>
                <w:sz w:val="22"/>
                <w:szCs w:val="22"/>
              </w:rPr>
              <w:t>China</w:t>
            </w:r>
          </w:p>
        </w:tc>
        <w:tc>
          <w:tcPr>
            <w:tcW w:w="2516" w:type="dxa"/>
          </w:tcPr>
          <w:p w:rsidR="00DD24D9" w:rsidRPr="00DD24D9" w:rsidRDefault="00DD24D9" w:rsidP="00606EAC">
            <w:pPr>
              <w:contextualSpacing/>
              <w:jc w:val="center"/>
              <w:rPr>
                <w:sz w:val="22"/>
                <w:szCs w:val="22"/>
              </w:rPr>
            </w:pPr>
            <w:r w:rsidRPr="00DD24D9">
              <w:rPr>
                <w:sz w:val="22"/>
                <w:szCs w:val="22"/>
              </w:rPr>
              <w:t>Gambia</w:t>
            </w:r>
          </w:p>
        </w:tc>
        <w:tc>
          <w:tcPr>
            <w:tcW w:w="2516" w:type="dxa"/>
          </w:tcPr>
          <w:p w:rsidR="00DD24D9" w:rsidRPr="00DD24D9" w:rsidRDefault="00DD24D9" w:rsidP="00606EAC">
            <w:pPr>
              <w:contextualSpacing/>
              <w:jc w:val="center"/>
              <w:rPr>
                <w:sz w:val="22"/>
                <w:szCs w:val="22"/>
              </w:rPr>
            </w:pPr>
            <w:r w:rsidRPr="00DD24D9">
              <w:rPr>
                <w:sz w:val="22"/>
                <w:szCs w:val="22"/>
              </w:rPr>
              <w:t>Nueva Zelanda</w:t>
            </w:r>
          </w:p>
        </w:tc>
        <w:tc>
          <w:tcPr>
            <w:tcW w:w="2516" w:type="dxa"/>
          </w:tcPr>
          <w:p w:rsidR="00DD24D9" w:rsidRPr="00DD24D9" w:rsidRDefault="00DD24D9" w:rsidP="00606EAC">
            <w:pPr>
              <w:contextualSpacing/>
              <w:jc w:val="center"/>
              <w:rPr>
                <w:sz w:val="22"/>
                <w:szCs w:val="22"/>
              </w:rPr>
            </w:pPr>
            <w:r w:rsidRPr="00DD24D9">
              <w:rPr>
                <w:sz w:val="22"/>
                <w:szCs w:val="22"/>
              </w:rPr>
              <w:t>Zambia</w:t>
            </w:r>
          </w:p>
        </w:tc>
      </w:tr>
    </w:tbl>
    <w:p w:rsidR="00DD24D9" w:rsidRDefault="00DD24D9" w:rsidP="00606EAC">
      <w:pPr>
        <w:ind w:right="369"/>
        <w:contextualSpacing/>
        <w:jc w:val="both"/>
        <w:rPr>
          <w:sz w:val="22"/>
          <w:szCs w:val="22"/>
        </w:rPr>
      </w:pPr>
    </w:p>
    <w:p w:rsidR="004C65D0" w:rsidRPr="004C65D0" w:rsidRDefault="004C65D0" w:rsidP="00606EAC">
      <w:pPr>
        <w:ind w:right="368"/>
        <w:jc w:val="both"/>
        <w:rPr>
          <w:sz w:val="22"/>
          <w:szCs w:val="22"/>
        </w:rPr>
      </w:pPr>
      <w:r w:rsidRPr="004C65D0">
        <w:rPr>
          <w:sz w:val="22"/>
          <w:szCs w:val="22"/>
        </w:rPr>
        <w:t>Adicional a lo anterior, se puede acceder a:</w:t>
      </w:r>
    </w:p>
    <w:p w:rsidR="004C65D0" w:rsidRPr="004C65D0" w:rsidRDefault="00DD24D9" w:rsidP="00D4302C">
      <w:pPr>
        <w:pStyle w:val="ListParagraph"/>
        <w:numPr>
          <w:ilvl w:val="0"/>
          <w:numId w:val="29"/>
        </w:numPr>
        <w:spacing w:after="0"/>
        <w:ind w:right="369"/>
        <w:jc w:val="both"/>
        <w:rPr>
          <w:sz w:val="22"/>
          <w:szCs w:val="22"/>
        </w:rPr>
      </w:pPr>
      <w:r>
        <w:rPr>
          <w:sz w:val="22"/>
          <w:szCs w:val="22"/>
        </w:rPr>
        <w:t>Documentos del GHS</w:t>
      </w:r>
    </w:p>
    <w:p w:rsidR="004C65D0" w:rsidRPr="004C65D0" w:rsidRDefault="004C65D0" w:rsidP="00D4302C">
      <w:pPr>
        <w:pStyle w:val="ListParagraph"/>
        <w:numPr>
          <w:ilvl w:val="0"/>
          <w:numId w:val="29"/>
        </w:numPr>
        <w:spacing w:after="0"/>
        <w:ind w:right="369"/>
        <w:jc w:val="both"/>
        <w:rPr>
          <w:sz w:val="22"/>
          <w:szCs w:val="22"/>
        </w:rPr>
      </w:pPr>
      <w:r w:rsidRPr="004C65D0">
        <w:rPr>
          <w:sz w:val="22"/>
          <w:szCs w:val="22"/>
        </w:rPr>
        <w:t xml:space="preserve">Instrumentos Internacionales </w:t>
      </w:r>
    </w:p>
    <w:p w:rsidR="004C65D0" w:rsidRPr="004C65D0" w:rsidRDefault="004C65D0" w:rsidP="00D4302C">
      <w:pPr>
        <w:pStyle w:val="ListParagraph"/>
        <w:numPr>
          <w:ilvl w:val="0"/>
          <w:numId w:val="29"/>
        </w:numPr>
        <w:spacing w:after="0"/>
        <w:ind w:right="369"/>
        <w:jc w:val="both"/>
        <w:rPr>
          <w:sz w:val="22"/>
          <w:szCs w:val="22"/>
        </w:rPr>
      </w:pPr>
      <w:r w:rsidRPr="004C65D0">
        <w:rPr>
          <w:sz w:val="22"/>
          <w:szCs w:val="22"/>
        </w:rPr>
        <w:t xml:space="preserve">Documentos </w:t>
      </w:r>
      <w:r w:rsidR="009A2076">
        <w:rPr>
          <w:sz w:val="22"/>
          <w:szCs w:val="22"/>
        </w:rPr>
        <w:t>R</w:t>
      </w:r>
      <w:r w:rsidRPr="004C65D0">
        <w:rPr>
          <w:sz w:val="22"/>
          <w:szCs w:val="22"/>
        </w:rPr>
        <w:t xml:space="preserve">egionales </w:t>
      </w:r>
    </w:p>
    <w:p w:rsidR="004C65D0" w:rsidRPr="004C65D0" w:rsidRDefault="004C65D0" w:rsidP="00D4302C">
      <w:pPr>
        <w:pStyle w:val="ListParagraph"/>
        <w:numPr>
          <w:ilvl w:val="0"/>
          <w:numId w:val="29"/>
        </w:numPr>
        <w:spacing w:after="0"/>
        <w:ind w:right="369"/>
        <w:jc w:val="both"/>
        <w:rPr>
          <w:sz w:val="22"/>
          <w:szCs w:val="22"/>
        </w:rPr>
      </w:pPr>
      <w:r w:rsidRPr="004C65D0">
        <w:rPr>
          <w:sz w:val="22"/>
          <w:szCs w:val="22"/>
        </w:rPr>
        <w:t xml:space="preserve">Documentos Nacionales y Legislación </w:t>
      </w:r>
    </w:p>
    <w:p w:rsidR="004C65D0" w:rsidRPr="004C65D0" w:rsidRDefault="004C65D0" w:rsidP="00D4302C">
      <w:pPr>
        <w:pStyle w:val="ListParagraph"/>
        <w:numPr>
          <w:ilvl w:val="0"/>
          <w:numId w:val="29"/>
        </w:numPr>
        <w:spacing w:after="0"/>
        <w:ind w:right="369"/>
        <w:jc w:val="both"/>
        <w:rPr>
          <w:sz w:val="22"/>
          <w:szCs w:val="22"/>
        </w:rPr>
      </w:pPr>
      <w:r w:rsidRPr="004C65D0">
        <w:rPr>
          <w:sz w:val="22"/>
          <w:szCs w:val="22"/>
        </w:rPr>
        <w:t xml:space="preserve">Desarrollo de Capacidades GHS </w:t>
      </w:r>
    </w:p>
    <w:p w:rsidR="004C65D0" w:rsidRPr="004C65D0" w:rsidRDefault="004C65D0" w:rsidP="00D4302C">
      <w:pPr>
        <w:pStyle w:val="ListParagraph"/>
        <w:numPr>
          <w:ilvl w:val="0"/>
          <w:numId w:val="29"/>
        </w:numPr>
        <w:spacing w:after="0"/>
        <w:ind w:right="369"/>
        <w:jc w:val="both"/>
        <w:rPr>
          <w:sz w:val="22"/>
          <w:szCs w:val="22"/>
        </w:rPr>
      </w:pPr>
      <w:r w:rsidRPr="004C65D0">
        <w:rPr>
          <w:sz w:val="22"/>
          <w:szCs w:val="22"/>
        </w:rPr>
        <w:t xml:space="preserve">Proyectos e iniciativas </w:t>
      </w:r>
    </w:p>
    <w:p w:rsidR="004C65D0" w:rsidRPr="004C65D0" w:rsidRDefault="004C65D0" w:rsidP="00D4302C">
      <w:pPr>
        <w:pStyle w:val="ListParagraph"/>
        <w:numPr>
          <w:ilvl w:val="0"/>
          <w:numId w:val="29"/>
        </w:numPr>
        <w:spacing w:after="0"/>
        <w:ind w:right="369"/>
        <w:jc w:val="both"/>
        <w:rPr>
          <w:sz w:val="22"/>
          <w:szCs w:val="22"/>
        </w:rPr>
      </w:pPr>
      <w:r w:rsidRPr="004C65D0">
        <w:rPr>
          <w:sz w:val="22"/>
          <w:szCs w:val="22"/>
        </w:rPr>
        <w:t xml:space="preserve">Orientación, Sensibilización y Materiales de Capacitación </w:t>
      </w:r>
    </w:p>
    <w:p w:rsidR="004C65D0" w:rsidRPr="004C65D0" w:rsidRDefault="004C65D0" w:rsidP="00D4302C">
      <w:pPr>
        <w:pStyle w:val="ListParagraph"/>
        <w:numPr>
          <w:ilvl w:val="0"/>
          <w:numId w:val="29"/>
        </w:numPr>
        <w:ind w:right="368"/>
        <w:jc w:val="both"/>
        <w:rPr>
          <w:sz w:val="22"/>
          <w:szCs w:val="22"/>
        </w:rPr>
      </w:pPr>
      <w:r w:rsidRPr="004C65D0">
        <w:rPr>
          <w:sz w:val="22"/>
          <w:szCs w:val="22"/>
        </w:rPr>
        <w:t>Reuniones e informes de talleres</w:t>
      </w:r>
    </w:p>
    <w:p w:rsidR="004C65D0" w:rsidRDefault="00682F2E" w:rsidP="00743404">
      <w:pPr>
        <w:jc w:val="both"/>
        <w:rPr>
          <w:sz w:val="22"/>
          <w:szCs w:val="22"/>
        </w:rPr>
      </w:pPr>
      <w:r>
        <w:rPr>
          <w:sz w:val="22"/>
          <w:szCs w:val="22"/>
        </w:rPr>
        <w:t>L</w:t>
      </w:r>
      <w:r w:rsidR="004C65D0" w:rsidRPr="004C65D0">
        <w:rPr>
          <w:sz w:val="22"/>
          <w:szCs w:val="22"/>
        </w:rPr>
        <w:t>os documentos más relevantes se encuentran en Documentos regionales, donde por ejemplo se puede acceder a documentos de la Unión Europea relativos a Directivas, Regulaciones, Comentarios de Stakeholders respecto a la implementación, Reporte final so</w:t>
      </w:r>
      <w:r w:rsidR="009A2076">
        <w:rPr>
          <w:sz w:val="22"/>
          <w:szCs w:val="22"/>
        </w:rPr>
        <w:t>bre la</w:t>
      </w:r>
      <w:r w:rsidR="004C65D0" w:rsidRPr="004C65D0">
        <w:rPr>
          <w:sz w:val="22"/>
          <w:szCs w:val="22"/>
        </w:rPr>
        <w:t xml:space="preserve"> asistencia técnica para la implementación del GHS, Impacto en otra legislación comunitaria que surgen de la implementación del GHS, entre otros, y también en Documentos Nacionales y Legislación donde se puede acceder a documentos</w:t>
      </w:r>
      <w:r w:rsidR="009A2076">
        <w:rPr>
          <w:sz w:val="22"/>
          <w:szCs w:val="22"/>
        </w:rPr>
        <w:t xml:space="preserve"> de</w:t>
      </w:r>
      <w:r w:rsidR="004C65D0" w:rsidRPr="004C65D0">
        <w:rPr>
          <w:sz w:val="22"/>
          <w:szCs w:val="22"/>
        </w:rPr>
        <w:t xml:space="preserve"> distintos países. Por ejemplo</w:t>
      </w:r>
      <w:r w:rsidR="009A2076">
        <w:rPr>
          <w:sz w:val="22"/>
          <w:szCs w:val="22"/>
        </w:rPr>
        <w:t>,</w:t>
      </w:r>
      <w:r w:rsidR="004C65D0" w:rsidRPr="004C65D0">
        <w:rPr>
          <w:sz w:val="22"/>
          <w:szCs w:val="22"/>
        </w:rPr>
        <w:t xml:space="preserve"> en el caso de Australia se accede a: Proyecto de Código Nacional de Práctica para el Control de Productos Químicos Peligrosos de seguridad del lugar de trabajo, Proyecto de Norma Nacional para el Control de Productos Químicos Peligrosos de seguridad del lugar de trabajo y Norma Nacional para el almacenamiento y manejo de mercancías peligrosas del lugar de trabajo.</w:t>
      </w:r>
    </w:p>
    <w:p w:rsidR="006D0FB7" w:rsidRPr="006D0FB7" w:rsidRDefault="00B84D27" w:rsidP="00743404">
      <w:pPr>
        <w:jc w:val="both"/>
        <w:rPr>
          <w:color w:val="0070C0"/>
          <w:sz w:val="22"/>
          <w:szCs w:val="22"/>
        </w:rPr>
      </w:pPr>
      <w:r>
        <w:rPr>
          <w:sz w:val="22"/>
          <w:szCs w:val="22"/>
        </w:rPr>
        <w:t>Además, a</w:t>
      </w:r>
      <w:r w:rsidRPr="004C65D0">
        <w:rPr>
          <w:sz w:val="22"/>
          <w:szCs w:val="22"/>
        </w:rPr>
        <w:t xml:space="preserve"> través de </w:t>
      </w:r>
      <w:r w:rsidR="009A2076">
        <w:rPr>
          <w:sz w:val="22"/>
          <w:szCs w:val="22"/>
        </w:rPr>
        <w:t>los años, diversos documentos</w:t>
      </w:r>
      <w:r w:rsidRPr="004C65D0">
        <w:rPr>
          <w:sz w:val="22"/>
          <w:szCs w:val="22"/>
        </w:rPr>
        <w:t xml:space="preserve"> guía, materiales de capacitación y herramientas para la sensibilización sobre el GHS han sido desarrollados y actualizados</w:t>
      </w:r>
      <w:r>
        <w:rPr>
          <w:sz w:val="22"/>
          <w:szCs w:val="22"/>
        </w:rPr>
        <w:t xml:space="preserve"> por UNITAR</w:t>
      </w:r>
      <w:r w:rsidR="00BD42A4">
        <w:rPr>
          <w:sz w:val="22"/>
          <w:szCs w:val="22"/>
        </w:rPr>
        <w:t xml:space="preserve"> a través de su “</w:t>
      </w:r>
      <w:r w:rsidR="00BD42A4" w:rsidRPr="00BD42A4">
        <w:rPr>
          <w:i/>
          <w:sz w:val="22"/>
          <w:szCs w:val="22"/>
        </w:rPr>
        <w:t>Programa Global de Creación de capacidades para aplicar GHS</w:t>
      </w:r>
      <w:r w:rsidR="00BD42A4">
        <w:rPr>
          <w:sz w:val="22"/>
          <w:szCs w:val="22"/>
        </w:rPr>
        <w:t>”</w:t>
      </w:r>
      <w:r w:rsidR="009A2076">
        <w:rPr>
          <w:sz w:val="22"/>
          <w:szCs w:val="22"/>
        </w:rPr>
        <w:t>,</w:t>
      </w:r>
      <w:r w:rsidRPr="004C65D0">
        <w:rPr>
          <w:sz w:val="22"/>
          <w:szCs w:val="22"/>
        </w:rPr>
        <w:t xml:space="preserve"> de acuerdo a los resultados </w:t>
      </w:r>
      <w:r w:rsidR="009A2076">
        <w:rPr>
          <w:sz w:val="22"/>
          <w:szCs w:val="22"/>
        </w:rPr>
        <w:t xml:space="preserve">que se han obtenido </w:t>
      </w:r>
      <w:r w:rsidRPr="004C65D0">
        <w:rPr>
          <w:sz w:val="22"/>
          <w:szCs w:val="22"/>
        </w:rPr>
        <w:t>de la implementación del sistema en distintos países, constituyendo una importante plataforma para el intercambio de información. Algunos de ellos se detallan en la siguiente tabla y puede encontrarse mayor información en la página Web de Chemicals and Waste Management de UNITAR (</w:t>
      </w:r>
      <w:hyperlink r:id="rId13" w:history="1">
        <w:r w:rsidRPr="002D0393">
          <w:rPr>
            <w:rStyle w:val="Hyperlink"/>
            <w:color w:val="0070C0"/>
            <w:sz w:val="22"/>
            <w:szCs w:val="22"/>
          </w:rPr>
          <w:t>www.unitar.org/cwm/</w:t>
        </w:r>
      </w:hyperlink>
      <w:r w:rsidRPr="002D0393">
        <w:rPr>
          <w:color w:val="0070C0"/>
          <w:sz w:val="22"/>
          <w:szCs w:val="22"/>
        </w:rPr>
        <w:t>):</w:t>
      </w:r>
    </w:p>
    <w:p w:rsidR="00B84D27" w:rsidRPr="004C65D0" w:rsidRDefault="005403A2" w:rsidP="00675AC0">
      <w:pPr>
        <w:ind w:right="369"/>
        <w:contextualSpacing/>
        <w:jc w:val="center"/>
        <w:rPr>
          <w:b/>
          <w:sz w:val="22"/>
          <w:szCs w:val="22"/>
        </w:rPr>
      </w:pPr>
      <w:r>
        <w:rPr>
          <w:b/>
          <w:sz w:val="22"/>
          <w:szCs w:val="22"/>
        </w:rPr>
        <w:t>Tabla 2</w:t>
      </w:r>
      <w:r w:rsidR="00B84D27" w:rsidRPr="004C65D0">
        <w:rPr>
          <w:b/>
          <w:sz w:val="22"/>
          <w:szCs w:val="22"/>
        </w:rPr>
        <w:t xml:space="preserve">: </w:t>
      </w:r>
      <w:r w:rsidR="00B84D27">
        <w:rPr>
          <w:b/>
          <w:sz w:val="22"/>
          <w:szCs w:val="22"/>
        </w:rPr>
        <w:t>Recursos proporcionados por UNITAR para implementación de GHS</w:t>
      </w:r>
    </w:p>
    <w:tbl>
      <w:tblPr>
        <w:tblStyle w:val="Listaclara-nfasis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2"/>
        <w:gridCol w:w="5831"/>
      </w:tblGrid>
      <w:tr w:rsidR="00B84D27" w:rsidRPr="004C65D0" w:rsidTr="007434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pct"/>
          </w:tcPr>
          <w:p w:rsidR="00B84D27" w:rsidRPr="00D51D33" w:rsidRDefault="00B84D27" w:rsidP="00606EAC">
            <w:pPr>
              <w:spacing w:after="0"/>
              <w:ind w:right="368"/>
              <w:jc w:val="center"/>
              <w:rPr>
                <w:rFonts w:asciiTheme="minorHAnsi" w:hAnsiTheme="minorHAnsi"/>
                <w:sz w:val="22"/>
                <w:szCs w:val="22"/>
              </w:rPr>
            </w:pPr>
            <w:r w:rsidRPr="00D51D33">
              <w:rPr>
                <w:rFonts w:asciiTheme="minorHAnsi" w:hAnsiTheme="minorHAnsi"/>
                <w:sz w:val="22"/>
                <w:szCs w:val="22"/>
              </w:rPr>
              <w:t>Material</w:t>
            </w:r>
          </w:p>
        </w:tc>
        <w:tc>
          <w:tcPr>
            <w:tcW w:w="2941" w:type="pct"/>
          </w:tcPr>
          <w:p w:rsidR="00B84D27" w:rsidRPr="004C65D0" w:rsidRDefault="00B84D27" w:rsidP="00606EAC">
            <w:pPr>
              <w:spacing w:after="0"/>
              <w:ind w:right="3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Descripción</w:t>
            </w:r>
          </w:p>
        </w:tc>
      </w:tr>
      <w:tr w:rsidR="00B84D27" w:rsidRPr="004C65D0" w:rsidTr="007434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pct"/>
            <w:tcBorders>
              <w:top w:val="none" w:sz="0" w:space="0" w:color="auto"/>
              <w:left w:val="none" w:sz="0" w:space="0" w:color="auto"/>
              <w:bottom w:val="none" w:sz="0" w:space="0" w:color="auto"/>
            </w:tcBorders>
            <w:vAlign w:val="center"/>
          </w:tcPr>
          <w:p w:rsidR="00B84D27" w:rsidRPr="00D51D33" w:rsidRDefault="00675AC0" w:rsidP="00606EAC">
            <w:pPr>
              <w:spacing w:after="0"/>
              <w:ind w:right="368"/>
              <w:jc w:val="left"/>
              <w:rPr>
                <w:rFonts w:asciiTheme="minorHAnsi" w:hAnsiTheme="minorHAnsi"/>
                <w:sz w:val="22"/>
                <w:szCs w:val="22"/>
              </w:rPr>
            </w:pPr>
            <w:r>
              <w:rPr>
                <w:rFonts w:asciiTheme="minorHAnsi" w:hAnsiTheme="minorHAnsi"/>
                <w:sz w:val="22"/>
                <w:szCs w:val="22"/>
              </w:rPr>
              <w:t>Libro P</w:t>
            </w:r>
            <w:r w:rsidR="00D51D33">
              <w:rPr>
                <w:rFonts w:asciiTheme="minorHAnsi" w:hAnsiTheme="minorHAnsi"/>
                <w:sz w:val="22"/>
                <w:szCs w:val="22"/>
              </w:rPr>
              <w:t>úrpura</w:t>
            </w:r>
            <w:r w:rsidR="00391FDF">
              <w:rPr>
                <w:rFonts w:asciiTheme="minorHAnsi" w:hAnsiTheme="minorHAnsi"/>
                <w:sz w:val="22"/>
                <w:szCs w:val="22"/>
              </w:rPr>
              <w:t>- Sistema Globalmente Armonizado de Clasificación y Etiquetado de productos químicos</w:t>
            </w:r>
          </w:p>
        </w:tc>
        <w:tc>
          <w:tcPr>
            <w:tcW w:w="2941" w:type="pct"/>
            <w:tcBorders>
              <w:top w:val="none" w:sz="0" w:space="0" w:color="auto"/>
              <w:bottom w:val="none" w:sz="0" w:space="0" w:color="auto"/>
              <w:right w:val="none" w:sz="0" w:space="0" w:color="auto"/>
            </w:tcBorders>
            <w:vAlign w:val="center"/>
          </w:tcPr>
          <w:p w:rsidR="00B84D27" w:rsidRPr="00391FDF" w:rsidRDefault="00391FDF" w:rsidP="00606EAC">
            <w:pPr>
              <w:spacing w:after="0"/>
              <w:ind w:right="368"/>
              <w:jc w:val="left"/>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391FDF">
              <w:rPr>
                <w:rFonts w:asciiTheme="minorHAnsi" w:hAnsiTheme="minorHAnsi"/>
                <w:sz w:val="22"/>
                <w:szCs w:val="22"/>
              </w:rPr>
              <w:t>Documento que describe los propósitos disposiciones, alcances y definiciones del sistema GHS</w:t>
            </w:r>
          </w:p>
        </w:tc>
      </w:tr>
      <w:tr w:rsidR="00B84D27" w:rsidRPr="004C65D0" w:rsidTr="00743404">
        <w:tc>
          <w:tcPr>
            <w:cnfStyle w:val="001000000000" w:firstRow="0" w:lastRow="0" w:firstColumn="1" w:lastColumn="0" w:oddVBand="0" w:evenVBand="0" w:oddHBand="0" w:evenHBand="0" w:firstRowFirstColumn="0" w:firstRowLastColumn="0" w:lastRowFirstColumn="0" w:lastRowLastColumn="0"/>
            <w:tcW w:w="2059" w:type="pct"/>
            <w:vAlign w:val="center"/>
          </w:tcPr>
          <w:p w:rsidR="00B84D27" w:rsidRPr="00D51D33" w:rsidRDefault="00391FDF" w:rsidP="00606EAC">
            <w:pPr>
              <w:spacing w:after="0"/>
              <w:ind w:right="368"/>
              <w:jc w:val="left"/>
              <w:rPr>
                <w:rFonts w:asciiTheme="minorHAnsi" w:hAnsiTheme="minorHAnsi"/>
                <w:sz w:val="22"/>
                <w:szCs w:val="22"/>
              </w:rPr>
            </w:pPr>
            <w:r>
              <w:rPr>
                <w:rFonts w:asciiTheme="minorHAnsi" w:hAnsiTheme="minorHAnsi"/>
                <w:sz w:val="22"/>
                <w:szCs w:val="22"/>
              </w:rPr>
              <w:t>Guía de Elaboración de Estrategia Nacional de Aplicación del GHS</w:t>
            </w:r>
          </w:p>
        </w:tc>
        <w:tc>
          <w:tcPr>
            <w:tcW w:w="2941" w:type="pct"/>
            <w:vAlign w:val="center"/>
          </w:tcPr>
          <w:p w:rsidR="00B84D27" w:rsidRPr="00391FDF" w:rsidRDefault="00391FDF" w:rsidP="00606EAC">
            <w:pPr>
              <w:spacing w:after="0"/>
              <w:ind w:right="368"/>
              <w:jc w:val="lef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391FDF">
              <w:rPr>
                <w:rFonts w:asciiTheme="minorHAnsi" w:hAnsiTheme="minorHAnsi"/>
                <w:sz w:val="22"/>
                <w:szCs w:val="22"/>
              </w:rPr>
              <w:t>Documento de orientación para apoyar la implementación del GHS</w:t>
            </w:r>
          </w:p>
        </w:tc>
      </w:tr>
      <w:tr w:rsidR="00B84D27" w:rsidRPr="004C65D0" w:rsidTr="007434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pct"/>
            <w:tcBorders>
              <w:top w:val="none" w:sz="0" w:space="0" w:color="auto"/>
              <w:left w:val="none" w:sz="0" w:space="0" w:color="auto"/>
              <w:bottom w:val="none" w:sz="0" w:space="0" w:color="auto"/>
            </w:tcBorders>
            <w:vAlign w:val="center"/>
          </w:tcPr>
          <w:p w:rsidR="00B84D27" w:rsidRPr="004C65D0" w:rsidRDefault="00B84D27" w:rsidP="00606EAC">
            <w:pPr>
              <w:spacing w:after="0"/>
              <w:ind w:right="368"/>
              <w:jc w:val="left"/>
              <w:rPr>
                <w:rFonts w:asciiTheme="minorHAnsi" w:hAnsiTheme="minorHAnsi"/>
                <w:sz w:val="22"/>
                <w:szCs w:val="22"/>
              </w:rPr>
            </w:pPr>
            <w:r w:rsidRPr="004C65D0">
              <w:rPr>
                <w:rFonts w:asciiTheme="minorHAnsi" w:hAnsiTheme="minorHAnsi"/>
                <w:sz w:val="22"/>
                <w:szCs w:val="22"/>
              </w:rPr>
              <w:t>Comprendiendo el GHS - Guía de apoyo al Libro Púrpura del GHS</w:t>
            </w:r>
          </w:p>
        </w:tc>
        <w:tc>
          <w:tcPr>
            <w:tcW w:w="2941" w:type="pct"/>
            <w:tcBorders>
              <w:top w:val="none" w:sz="0" w:space="0" w:color="auto"/>
              <w:bottom w:val="none" w:sz="0" w:space="0" w:color="auto"/>
              <w:right w:val="none" w:sz="0" w:space="0" w:color="auto"/>
            </w:tcBorders>
            <w:vAlign w:val="center"/>
          </w:tcPr>
          <w:p w:rsidR="00B84D27" w:rsidRPr="004C65D0" w:rsidRDefault="00B84D27" w:rsidP="00606EAC">
            <w:pPr>
              <w:spacing w:after="0"/>
              <w:ind w:right="368"/>
              <w:jc w:val="left"/>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Esta guía está dirigida a los organismos responsables de implementar el GHS para simplificar la comprensión del mismo.</w:t>
            </w:r>
          </w:p>
        </w:tc>
      </w:tr>
      <w:tr w:rsidR="00B84D27" w:rsidRPr="004C65D0" w:rsidTr="00743404">
        <w:tc>
          <w:tcPr>
            <w:cnfStyle w:val="001000000000" w:firstRow="0" w:lastRow="0" w:firstColumn="1" w:lastColumn="0" w:oddVBand="0" w:evenVBand="0" w:oddHBand="0" w:evenHBand="0" w:firstRowFirstColumn="0" w:firstRowLastColumn="0" w:lastRowFirstColumn="0" w:lastRowLastColumn="0"/>
            <w:tcW w:w="2059" w:type="pct"/>
            <w:vAlign w:val="center"/>
          </w:tcPr>
          <w:p w:rsidR="00B84D27" w:rsidRPr="004C65D0" w:rsidRDefault="00B84D27" w:rsidP="00606EAC">
            <w:pPr>
              <w:spacing w:after="0"/>
              <w:ind w:right="368"/>
              <w:jc w:val="left"/>
              <w:rPr>
                <w:rFonts w:asciiTheme="minorHAnsi" w:hAnsiTheme="minorHAnsi"/>
                <w:sz w:val="22"/>
                <w:szCs w:val="22"/>
              </w:rPr>
            </w:pPr>
            <w:r w:rsidRPr="004C65D0">
              <w:rPr>
                <w:rFonts w:asciiTheme="minorHAnsi" w:hAnsiTheme="minorHAnsi"/>
                <w:sz w:val="22"/>
                <w:szCs w:val="22"/>
              </w:rPr>
              <w:t>Paquete de capacitación de GHS</w:t>
            </w:r>
          </w:p>
        </w:tc>
        <w:tc>
          <w:tcPr>
            <w:tcW w:w="2941" w:type="pct"/>
            <w:vAlign w:val="center"/>
          </w:tcPr>
          <w:p w:rsidR="00B84D27" w:rsidRPr="004C65D0" w:rsidRDefault="00B84D27" w:rsidP="00606EAC">
            <w:pPr>
              <w:spacing w:after="0"/>
              <w:ind w:right="368"/>
              <w:jc w:val="lef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C65D0">
              <w:rPr>
                <w:rFonts w:asciiTheme="minorHAnsi" w:hAnsiTheme="minorHAnsi"/>
                <w:sz w:val="22"/>
                <w:szCs w:val="22"/>
              </w:rPr>
              <w:t>Consiste en un documento impreso, presentaciones y ejercicios del GHS, utilizados inicialmente en capacitaciones presenciales y ahora adaptados para capacitaciones virtuales.</w:t>
            </w:r>
            <w:r>
              <w:rPr>
                <w:rFonts w:asciiTheme="minorHAnsi" w:hAnsiTheme="minorHAnsi"/>
                <w:sz w:val="22"/>
                <w:szCs w:val="22"/>
              </w:rPr>
              <w:t xml:space="preserve"> Incluye Cursos Básico y Avanzado de formación y materiales de orientación.</w:t>
            </w:r>
          </w:p>
        </w:tc>
      </w:tr>
      <w:tr w:rsidR="00B84D27" w:rsidRPr="004C65D0" w:rsidTr="007434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pct"/>
            <w:tcBorders>
              <w:top w:val="none" w:sz="0" w:space="0" w:color="auto"/>
              <w:left w:val="none" w:sz="0" w:space="0" w:color="auto"/>
              <w:bottom w:val="none" w:sz="0" w:space="0" w:color="auto"/>
            </w:tcBorders>
            <w:vAlign w:val="center"/>
          </w:tcPr>
          <w:p w:rsidR="00B84D27" w:rsidRPr="004C65D0" w:rsidRDefault="00B84D27" w:rsidP="00606EAC">
            <w:pPr>
              <w:spacing w:after="0"/>
              <w:ind w:right="368"/>
              <w:jc w:val="left"/>
              <w:rPr>
                <w:rFonts w:asciiTheme="minorHAnsi" w:hAnsiTheme="minorHAnsi"/>
                <w:sz w:val="22"/>
                <w:szCs w:val="22"/>
              </w:rPr>
            </w:pPr>
            <w:r w:rsidRPr="004C65D0">
              <w:rPr>
                <w:rFonts w:asciiTheme="minorHAnsi" w:hAnsiTheme="minorHAnsi"/>
                <w:sz w:val="22"/>
                <w:szCs w:val="22"/>
              </w:rPr>
              <w:t>Guía IOMC “Asistencia a países en la fase de transición para la implementación del GHS”</w:t>
            </w:r>
          </w:p>
        </w:tc>
        <w:tc>
          <w:tcPr>
            <w:tcW w:w="2941" w:type="pct"/>
            <w:tcBorders>
              <w:top w:val="none" w:sz="0" w:space="0" w:color="auto"/>
              <w:bottom w:val="none" w:sz="0" w:space="0" w:color="auto"/>
              <w:right w:val="none" w:sz="0" w:space="0" w:color="auto"/>
            </w:tcBorders>
            <w:vAlign w:val="center"/>
          </w:tcPr>
          <w:p w:rsidR="00B84D27" w:rsidRPr="004C65D0" w:rsidRDefault="00B84D27" w:rsidP="00606EAC">
            <w:pPr>
              <w:spacing w:after="0"/>
              <w:ind w:right="368"/>
              <w:jc w:val="left"/>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4C65D0">
              <w:rPr>
                <w:rFonts w:asciiTheme="minorHAnsi" w:hAnsiTheme="minorHAnsi"/>
                <w:sz w:val="22"/>
                <w:szCs w:val="22"/>
              </w:rPr>
              <w:t>Identifica los instrumentos y recursos del IOMC (Programa Interinstitucional de Gestión Racional de los Productos Químicos) para apoyar la implementación de GHS.</w:t>
            </w:r>
          </w:p>
        </w:tc>
      </w:tr>
      <w:tr w:rsidR="00B84D27" w:rsidRPr="004C65D0" w:rsidTr="00743404">
        <w:tc>
          <w:tcPr>
            <w:cnfStyle w:val="001000000000" w:firstRow="0" w:lastRow="0" w:firstColumn="1" w:lastColumn="0" w:oddVBand="0" w:evenVBand="0" w:oddHBand="0" w:evenHBand="0" w:firstRowFirstColumn="0" w:firstRowLastColumn="0" w:lastRowFirstColumn="0" w:lastRowLastColumn="0"/>
            <w:tcW w:w="2059" w:type="pct"/>
            <w:vAlign w:val="center"/>
          </w:tcPr>
          <w:p w:rsidR="00B84D27" w:rsidRPr="004C65D0" w:rsidRDefault="00B84D27" w:rsidP="00606EAC">
            <w:pPr>
              <w:spacing w:after="0"/>
              <w:ind w:right="368"/>
              <w:jc w:val="left"/>
              <w:rPr>
                <w:rFonts w:asciiTheme="minorHAnsi" w:hAnsiTheme="minorHAnsi"/>
                <w:sz w:val="22"/>
                <w:szCs w:val="22"/>
              </w:rPr>
            </w:pPr>
            <w:r w:rsidRPr="004C65D0">
              <w:rPr>
                <w:rFonts w:asciiTheme="minorHAnsi" w:hAnsiTheme="minorHAnsi"/>
                <w:sz w:val="22"/>
                <w:szCs w:val="22"/>
              </w:rPr>
              <w:t>Paquete para Pruebas de Inteligibilidad</w:t>
            </w:r>
          </w:p>
        </w:tc>
        <w:tc>
          <w:tcPr>
            <w:tcW w:w="2941" w:type="pct"/>
            <w:vAlign w:val="center"/>
          </w:tcPr>
          <w:p w:rsidR="00B84D27" w:rsidRPr="004C65D0" w:rsidRDefault="00B84D27" w:rsidP="00606EAC">
            <w:pPr>
              <w:spacing w:after="0"/>
              <w:ind w:right="368"/>
              <w:jc w:val="lef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C65D0">
              <w:rPr>
                <w:rFonts w:asciiTheme="minorHAnsi" w:hAnsiTheme="minorHAnsi"/>
                <w:sz w:val="22"/>
                <w:szCs w:val="22"/>
              </w:rPr>
              <w:t xml:space="preserve">Método basado en encuestas para obtener información sobre la comprensión de los elementos de comunicación de peligro del GHS </w:t>
            </w:r>
            <w:r>
              <w:rPr>
                <w:rFonts w:asciiTheme="minorHAnsi" w:hAnsiTheme="minorHAnsi"/>
                <w:sz w:val="22"/>
                <w:szCs w:val="22"/>
              </w:rPr>
              <w:t>por parte de los sectores involucrados.</w:t>
            </w:r>
          </w:p>
        </w:tc>
      </w:tr>
      <w:tr w:rsidR="00B84D27" w:rsidRPr="004C65D0" w:rsidTr="007434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9" w:type="pct"/>
            <w:tcBorders>
              <w:top w:val="none" w:sz="0" w:space="0" w:color="auto"/>
              <w:left w:val="none" w:sz="0" w:space="0" w:color="auto"/>
              <w:bottom w:val="none" w:sz="0" w:space="0" w:color="auto"/>
            </w:tcBorders>
            <w:vAlign w:val="center"/>
          </w:tcPr>
          <w:p w:rsidR="00B84D27" w:rsidRPr="004C65D0" w:rsidRDefault="00B84D27" w:rsidP="00606EAC">
            <w:pPr>
              <w:spacing w:after="0"/>
              <w:ind w:right="368"/>
              <w:jc w:val="left"/>
              <w:rPr>
                <w:rFonts w:asciiTheme="minorHAnsi" w:hAnsiTheme="minorHAnsi"/>
                <w:sz w:val="22"/>
                <w:szCs w:val="22"/>
              </w:rPr>
            </w:pPr>
            <w:r w:rsidRPr="004C65D0">
              <w:rPr>
                <w:rFonts w:asciiTheme="minorHAnsi" w:hAnsiTheme="minorHAnsi"/>
                <w:sz w:val="22"/>
                <w:szCs w:val="22"/>
              </w:rPr>
              <w:t>Lista de Expertos del GHS</w:t>
            </w:r>
          </w:p>
        </w:tc>
        <w:tc>
          <w:tcPr>
            <w:tcW w:w="2941" w:type="pct"/>
            <w:tcBorders>
              <w:top w:val="none" w:sz="0" w:space="0" w:color="auto"/>
              <w:bottom w:val="none" w:sz="0" w:space="0" w:color="auto"/>
              <w:right w:val="none" w:sz="0" w:space="0" w:color="auto"/>
            </w:tcBorders>
            <w:vAlign w:val="center"/>
          </w:tcPr>
          <w:p w:rsidR="00B84D27" w:rsidRPr="004C65D0" w:rsidRDefault="00B84D27" w:rsidP="00606EAC">
            <w:pPr>
              <w:spacing w:after="0"/>
              <w:ind w:right="368"/>
              <w:jc w:val="left"/>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4C65D0">
              <w:rPr>
                <w:rFonts w:asciiTheme="minorHAnsi" w:hAnsiTheme="minorHAnsi"/>
                <w:sz w:val="22"/>
                <w:szCs w:val="22"/>
              </w:rPr>
              <w:t>Base de datos de personas con experiencia relacionada con el GHS</w:t>
            </w:r>
            <w:r>
              <w:rPr>
                <w:rFonts w:asciiTheme="minorHAnsi" w:hAnsiTheme="minorHAnsi"/>
                <w:sz w:val="22"/>
                <w:szCs w:val="22"/>
              </w:rPr>
              <w:t xml:space="preserve"> que pueden apoyar las actividades de implementación</w:t>
            </w:r>
          </w:p>
        </w:tc>
      </w:tr>
    </w:tbl>
    <w:p w:rsidR="00527081" w:rsidRDefault="00527081" w:rsidP="00E42BB1">
      <w:pPr>
        <w:tabs>
          <w:tab w:val="left" w:pos="9923"/>
        </w:tabs>
        <w:spacing w:before="180"/>
        <w:jc w:val="both"/>
        <w:rPr>
          <w:sz w:val="22"/>
          <w:szCs w:val="22"/>
        </w:rPr>
      </w:pPr>
    </w:p>
    <w:p w:rsidR="000F34EB" w:rsidRDefault="00391FDF" w:rsidP="00E42BB1">
      <w:pPr>
        <w:tabs>
          <w:tab w:val="left" w:pos="9923"/>
        </w:tabs>
        <w:spacing w:before="180"/>
        <w:jc w:val="both"/>
        <w:rPr>
          <w:sz w:val="22"/>
          <w:szCs w:val="22"/>
        </w:rPr>
      </w:pPr>
      <w:r>
        <w:rPr>
          <w:sz w:val="22"/>
          <w:szCs w:val="22"/>
        </w:rPr>
        <w:t>Los recursos de mayor relevancia son descritos en detalle a continuación</w:t>
      </w:r>
      <w:r w:rsidR="009A2076">
        <w:rPr>
          <w:sz w:val="22"/>
          <w:szCs w:val="22"/>
        </w:rPr>
        <w:t>.</w:t>
      </w:r>
    </w:p>
    <w:p w:rsidR="004C65D0" w:rsidRPr="002D4486" w:rsidRDefault="00391FDF" w:rsidP="002A3E53">
      <w:pPr>
        <w:pStyle w:val="Heading4"/>
        <w:spacing w:before="0" w:after="180"/>
        <w:ind w:left="709" w:hanging="720"/>
        <w:jc w:val="both"/>
        <w:rPr>
          <w:b/>
          <w:i/>
          <w:caps w:val="0"/>
        </w:rPr>
      </w:pPr>
      <w:bookmarkStart w:id="24" w:name="_Toc388552063"/>
      <w:r w:rsidRPr="002D4486">
        <w:rPr>
          <w:b/>
          <w:i/>
          <w:caps w:val="0"/>
        </w:rPr>
        <w:t xml:space="preserve"> </w:t>
      </w:r>
      <w:bookmarkStart w:id="25" w:name="_Toc418168856"/>
      <w:r w:rsidR="004C65D0" w:rsidRPr="002D4486">
        <w:rPr>
          <w:b/>
          <w:i/>
          <w:caps w:val="0"/>
        </w:rPr>
        <w:t>GHS de las Naciones Unidas o Libro púrpura (UNITAR, 2011)</w:t>
      </w:r>
      <w:bookmarkEnd w:id="24"/>
      <w:bookmarkEnd w:id="25"/>
    </w:p>
    <w:p w:rsidR="004C65D0" w:rsidRPr="004C65D0" w:rsidRDefault="004C65D0" w:rsidP="00743404">
      <w:pPr>
        <w:jc w:val="both"/>
        <w:rPr>
          <w:sz w:val="22"/>
          <w:szCs w:val="22"/>
        </w:rPr>
      </w:pPr>
      <w:r w:rsidRPr="004C65D0">
        <w:rPr>
          <w:sz w:val="22"/>
          <w:szCs w:val="22"/>
        </w:rPr>
        <w:t>Este documento describe las disposiciones del GHS. Una primera sección introductoria enuncia el alcance, las definiciones y los elementos de comunica</w:t>
      </w:r>
      <w:r w:rsidR="00DD24D9">
        <w:rPr>
          <w:sz w:val="22"/>
          <w:szCs w:val="22"/>
        </w:rPr>
        <w:t>ción de peligros (etiquetado y H</w:t>
      </w:r>
      <w:r w:rsidRPr="004C65D0">
        <w:rPr>
          <w:sz w:val="22"/>
          <w:szCs w:val="22"/>
        </w:rPr>
        <w:t>DS), detallando, posteriormente, cada uno de los criterios armonizados de clasificación de sustancias y mezclas de acuerdo a sus peligros físicos, para l</w:t>
      </w:r>
      <w:r w:rsidR="009A2076">
        <w:rPr>
          <w:sz w:val="22"/>
          <w:szCs w:val="22"/>
        </w:rPr>
        <w:t>a salud y el medio ambiente, y</w:t>
      </w:r>
      <w:r w:rsidRPr="004C65D0">
        <w:rPr>
          <w:sz w:val="22"/>
          <w:szCs w:val="22"/>
        </w:rPr>
        <w:t xml:space="preserve"> también los elementos armonizados de comunicación de peligros con requisitos sobre etiquetas y </w:t>
      </w:r>
      <w:r w:rsidR="00251523">
        <w:rPr>
          <w:sz w:val="22"/>
          <w:szCs w:val="22"/>
        </w:rPr>
        <w:t>hojas</w:t>
      </w:r>
      <w:r w:rsidRPr="004C65D0">
        <w:rPr>
          <w:sz w:val="22"/>
          <w:szCs w:val="22"/>
        </w:rPr>
        <w:t xml:space="preserve"> de seguridad que incorporan símbolos, palabras de advertencia e indicaciones de peligro. Además, incluye directrices para ayudar a los países y organizaciones a que desarrollen instrumentos de aplicación del GHS conforme a sus propias exigencias.</w:t>
      </w:r>
    </w:p>
    <w:p w:rsidR="004C65D0" w:rsidRPr="002D4486" w:rsidRDefault="00391FDF" w:rsidP="002A3E53">
      <w:pPr>
        <w:pStyle w:val="Heading4"/>
        <w:spacing w:before="0" w:after="180"/>
        <w:ind w:left="709" w:hanging="720"/>
        <w:jc w:val="both"/>
        <w:rPr>
          <w:b/>
          <w:i/>
          <w:caps w:val="0"/>
        </w:rPr>
      </w:pPr>
      <w:bookmarkStart w:id="26" w:name="_Toc388552064"/>
      <w:r w:rsidRPr="002D4486">
        <w:rPr>
          <w:b/>
          <w:i/>
          <w:caps w:val="0"/>
        </w:rPr>
        <w:t xml:space="preserve"> </w:t>
      </w:r>
      <w:bookmarkStart w:id="27" w:name="_Toc418168857"/>
      <w:r w:rsidR="004C65D0" w:rsidRPr="002D4486">
        <w:rPr>
          <w:b/>
          <w:i/>
          <w:caps w:val="0"/>
        </w:rPr>
        <w:t>Elaboración de una Estrategia Nacional de Aplicación del GHS (UNITAR, 2010)</w:t>
      </w:r>
      <w:bookmarkEnd w:id="26"/>
      <w:bookmarkEnd w:id="27"/>
    </w:p>
    <w:p w:rsidR="004C65D0" w:rsidRPr="004C65D0" w:rsidRDefault="004C65D0" w:rsidP="00743404">
      <w:pPr>
        <w:tabs>
          <w:tab w:val="left" w:pos="9923"/>
        </w:tabs>
        <w:jc w:val="both"/>
        <w:rPr>
          <w:sz w:val="22"/>
          <w:szCs w:val="22"/>
        </w:rPr>
      </w:pPr>
      <w:r w:rsidRPr="004C65D0">
        <w:rPr>
          <w:sz w:val="22"/>
          <w:szCs w:val="22"/>
        </w:rPr>
        <w:t>Esta guía entrega una metodología de implementación como un marco orientador para el enfoque que cada país dará a la formulación de su estrategia.</w:t>
      </w:r>
    </w:p>
    <w:p w:rsidR="004C65D0" w:rsidRPr="004C65D0" w:rsidRDefault="004C65D0" w:rsidP="00743404">
      <w:pPr>
        <w:tabs>
          <w:tab w:val="left" w:pos="9923"/>
        </w:tabs>
        <w:jc w:val="both"/>
        <w:rPr>
          <w:sz w:val="22"/>
          <w:szCs w:val="22"/>
        </w:rPr>
      </w:pPr>
      <w:r w:rsidRPr="004C65D0">
        <w:rPr>
          <w:sz w:val="22"/>
          <w:szCs w:val="22"/>
        </w:rPr>
        <w:t>En primer lugar, presenta los sectores claves a quienes incumbe la aplicación del GHS a nivel nacional (industria, agricultura, transporte y productos de consumo) y los actores involucrados que intervendrán y se encargarán de la aplicación del sistema (gobierno, empresas e industrias y sociedad civil). En forma general, esta guía aborda cuestiones relativas a la coordinación de las partes interesadas y a las actividades a realizar, por ejemplo, la formación del Comité Nacional de Coordinación y sus funciones, de grupos de trabajo para cada sector, entre otros. Una vez cumplida esta etapa, sugiere una recopilación de información sobre la estructura</w:t>
      </w:r>
      <w:r>
        <w:rPr>
          <w:sz w:val="22"/>
          <w:szCs w:val="22"/>
        </w:rPr>
        <w:t xml:space="preserve"> nacional</w:t>
      </w:r>
      <w:r w:rsidRPr="004C65D0">
        <w:rPr>
          <w:sz w:val="22"/>
          <w:szCs w:val="22"/>
        </w:rPr>
        <w:t xml:space="preserve"> y las actividades existentes sobre el GHS, por ejemplo</w:t>
      </w:r>
      <w:r w:rsidR="009A2076">
        <w:rPr>
          <w:sz w:val="22"/>
          <w:szCs w:val="22"/>
        </w:rPr>
        <w:t>,</w:t>
      </w:r>
      <w:r w:rsidRPr="004C65D0">
        <w:rPr>
          <w:sz w:val="22"/>
          <w:szCs w:val="22"/>
        </w:rPr>
        <w:t xml:space="preserve"> Perfil Químico Nacional y Acuerdos Internacionales, para luego elaborar un análisis de situación y d</w:t>
      </w:r>
      <w:r w:rsidR="009A2076">
        <w:rPr>
          <w:sz w:val="22"/>
          <w:szCs w:val="22"/>
        </w:rPr>
        <w:t xml:space="preserve">e vacíos de los cuatro sectores, </w:t>
      </w:r>
      <w:r w:rsidRPr="004C65D0">
        <w:rPr>
          <w:sz w:val="22"/>
          <w:szCs w:val="22"/>
        </w:rPr>
        <w:t>pruebas de inteligibilidad que entregarán información sobre la</w:t>
      </w:r>
      <w:r w:rsidR="009A2076">
        <w:rPr>
          <w:sz w:val="22"/>
          <w:szCs w:val="22"/>
        </w:rPr>
        <w:t xml:space="preserve"> comprensión de los pictogramas</w:t>
      </w:r>
      <w:r w:rsidRPr="004C65D0">
        <w:rPr>
          <w:sz w:val="22"/>
          <w:szCs w:val="22"/>
        </w:rPr>
        <w:t xml:space="preserve"> y un análisis jurídico centrado en la comprensión de las leyes y reglamentos vigentes a partir de los cuales se determinarán las medidas</w:t>
      </w:r>
      <w:r w:rsidR="009A2076">
        <w:rPr>
          <w:sz w:val="22"/>
          <w:szCs w:val="22"/>
        </w:rPr>
        <w:t xml:space="preserve"> regulatorias</w:t>
      </w:r>
      <w:r w:rsidRPr="004C65D0">
        <w:rPr>
          <w:sz w:val="22"/>
          <w:szCs w:val="22"/>
        </w:rPr>
        <w:t xml:space="preserve"> necesarias que serán incluidas en el plan de aplicación de cada sector. Finalmente, se pueden organizar talleres de discusión y actividades destinadas a la formación técnica y concienciación de los grupos interesados durante todo el proceso de planificación y una vez implementado el plan.</w:t>
      </w:r>
    </w:p>
    <w:p w:rsidR="004C65D0" w:rsidRDefault="004C65D0" w:rsidP="00743404">
      <w:pPr>
        <w:jc w:val="both"/>
        <w:rPr>
          <w:b/>
          <w:sz w:val="22"/>
          <w:szCs w:val="22"/>
        </w:rPr>
      </w:pPr>
      <w:r w:rsidRPr="004C65D0">
        <w:rPr>
          <w:sz w:val="22"/>
          <w:szCs w:val="22"/>
        </w:rPr>
        <w:t xml:space="preserve">Las actividades y enfoques de una posible estrategia de implementación, de acuerdo a la información de esta guía, </w:t>
      </w:r>
      <w:r w:rsidR="009A2076">
        <w:rPr>
          <w:sz w:val="22"/>
          <w:szCs w:val="22"/>
        </w:rPr>
        <w:t>se resumen en</w:t>
      </w:r>
      <w:r w:rsidRPr="004C65D0">
        <w:rPr>
          <w:sz w:val="22"/>
          <w:szCs w:val="22"/>
        </w:rPr>
        <w:t xml:space="preserve"> la siguiente tabla.</w:t>
      </w:r>
      <w:r w:rsidRPr="004C65D0">
        <w:rPr>
          <w:b/>
          <w:sz w:val="22"/>
          <w:szCs w:val="22"/>
        </w:rPr>
        <w:t xml:space="preserve"> </w:t>
      </w:r>
    </w:p>
    <w:p w:rsidR="00BD42A4" w:rsidRPr="009A2076" w:rsidRDefault="00BD42A4" w:rsidP="00606EAC">
      <w:pPr>
        <w:spacing w:after="0" w:line="240" w:lineRule="auto"/>
        <w:jc w:val="center"/>
        <w:rPr>
          <w:b/>
          <w:sz w:val="22"/>
          <w:szCs w:val="22"/>
          <w:lang w:val="es-CL"/>
        </w:rPr>
      </w:pPr>
      <w:r w:rsidRPr="009A2076">
        <w:rPr>
          <w:b/>
          <w:sz w:val="22"/>
          <w:szCs w:val="22"/>
          <w:lang w:val="es-CL"/>
        </w:rPr>
        <w:t>Tabla 3. Actividades para implementación de GHS</w:t>
      </w:r>
    </w:p>
    <w:tbl>
      <w:tblPr>
        <w:tblStyle w:val="Listaclara-nfasis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8"/>
        <w:gridCol w:w="6735"/>
      </w:tblGrid>
      <w:tr w:rsidR="00BD42A4" w:rsidRPr="00BD42A4" w:rsidTr="007434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3" w:type="pct"/>
          </w:tcPr>
          <w:p w:rsidR="00BD42A4" w:rsidRPr="00BD42A4" w:rsidRDefault="00BD42A4" w:rsidP="00606EAC">
            <w:pPr>
              <w:spacing w:after="0"/>
              <w:jc w:val="center"/>
              <w:rPr>
                <w:rFonts w:asciiTheme="minorHAnsi" w:hAnsiTheme="minorHAnsi"/>
                <w:b w:val="0"/>
                <w:sz w:val="22"/>
                <w:szCs w:val="22"/>
                <w:lang w:val="es-CL"/>
              </w:rPr>
            </w:pPr>
            <w:r w:rsidRPr="00BD42A4">
              <w:rPr>
                <w:rFonts w:asciiTheme="minorHAnsi" w:hAnsiTheme="minorHAnsi"/>
                <w:sz w:val="22"/>
                <w:szCs w:val="22"/>
                <w:lang w:val="es-CL"/>
              </w:rPr>
              <w:t>Actividad</w:t>
            </w:r>
          </w:p>
        </w:tc>
        <w:tc>
          <w:tcPr>
            <w:tcW w:w="3397" w:type="pct"/>
          </w:tcPr>
          <w:p w:rsidR="00BD42A4" w:rsidRPr="00BD42A4" w:rsidRDefault="00BD42A4" w:rsidP="00606EAC">
            <w:pPr>
              <w:spacing w:after="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22"/>
                <w:szCs w:val="22"/>
                <w:lang w:val="es-CL"/>
              </w:rPr>
            </w:pPr>
            <w:r w:rsidRPr="00BD42A4">
              <w:rPr>
                <w:rFonts w:asciiTheme="minorHAnsi" w:hAnsiTheme="minorHAnsi"/>
                <w:sz w:val="22"/>
                <w:szCs w:val="22"/>
                <w:lang w:val="es-CL"/>
              </w:rPr>
              <w:t>Descripción</w:t>
            </w:r>
          </w:p>
        </w:tc>
      </w:tr>
      <w:tr w:rsidR="00BD42A4" w:rsidRPr="00BD42A4" w:rsidTr="009A20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3" w:type="pct"/>
            <w:tcBorders>
              <w:top w:val="none" w:sz="0" w:space="0" w:color="auto"/>
              <w:left w:val="none" w:sz="0" w:space="0" w:color="auto"/>
              <w:bottom w:val="none" w:sz="0" w:space="0" w:color="auto"/>
            </w:tcBorders>
            <w:vAlign w:val="center"/>
          </w:tcPr>
          <w:p w:rsidR="00BD42A4" w:rsidRPr="00BD42A4" w:rsidRDefault="00BD42A4" w:rsidP="009A2076">
            <w:pPr>
              <w:spacing w:after="0"/>
              <w:jc w:val="left"/>
              <w:rPr>
                <w:rFonts w:asciiTheme="minorHAnsi" w:hAnsiTheme="minorHAnsi"/>
                <w:b w:val="0"/>
                <w:sz w:val="22"/>
                <w:szCs w:val="22"/>
                <w:lang w:val="es-CL"/>
              </w:rPr>
            </w:pPr>
            <w:r w:rsidRPr="00BD42A4">
              <w:rPr>
                <w:rFonts w:asciiTheme="minorHAnsi" w:hAnsiTheme="minorHAnsi"/>
                <w:sz w:val="22"/>
                <w:szCs w:val="22"/>
                <w:lang w:val="es-CL"/>
              </w:rPr>
              <w:t>Creación de Comité Nacional de Coordinación del GHS</w:t>
            </w:r>
          </w:p>
        </w:tc>
        <w:tc>
          <w:tcPr>
            <w:tcW w:w="3397" w:type="pct"/>
            <w:tcBorders>
              <w:top w:val="none" w:sz="0" w:space="0" w:color="auto"/>
              <w:bottom w:val="none" w:sz="0" w:space="0" w:color="auto"/>
              <w:right w:val="none" w:sz="0" w:space="0" w:color="auto"/>
            </w:tcBorders>
          </w:tcPr>
          <w:p w:rsidR="00BD42A4" w:rsidRPr="00BD42A4" w:rsidRDefault="00BD42A4" w:rsidP="00606EA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sidRPr="00BD42A4">
              <w:rPr>
                <w:rFonts w:asciiTheme="minorHAnsi" w:hAnsiTheme="minorHAnsi"/>
                <w:sz w:val="22"/>
                <w:szCs w:val="22"/>
                <w:lang w:val="es-CL"/>
              </w:rPr>
              <w:t>Coordinar a las partes interesadas y las distintas tareas y actividades. Compuesto por representantes de grupos interesados y sectores involucrados. Entre sus funciones se incluye establecer los Términos de Referencia, el Plan de trabajo, Presupuesto para la elaboración de la estrategia de implementación y Grupos de trabajo sectoriales para creación de capacidades y coordinación intersectorial.</w:t>
            </w:r>
          </w:p>
        </w:tc>
      </w:tr>
      <w:tr w:rsidR="00BD42A4" w:rsidRPr="00BD42A4" w:rsidTr="009A2076">
        <w:tc>
          <w:tcPr>
            <w:cnfStyle w:val="001000000000" w:firstRow="0" w:lastRow="0" w:firstColumn="1" w:lastColumn="0" w:oddVBand="0" w:evenVBand="0" w:oddHBand="0" w:evenHBand="0" w:firstRowFirstColumn="0" w:firstRowLastColumn="0" w:lastRowFirstColumn="0" w:lastRowLastColumn="0"/>
            <w:tcW w:w="1603" w:type="pct"/>
            <w:vAlign w:val="center"/>
          </w:tcPr>
          <w:p w:rsidR="00BD42A4" w:rsidRPr="00BD42A4" w:rsidRDefault="00BD42A4" w:rsidP="009A2076">
            <w:pPr>
              <w:spacing w:after="0"/>
              <w:jc w:val="left"/>
              <w:rPr>
                <w:rFonts w:asciiTheme="minorHAnsi" w:hAnsiTheme="minorHAnsi"/>
                <w:b w:val="0"/>
                <w:sz w:val="22"/>
                <w:szCs w:val="22"/>
                <w:lang w:val="es-CL"/>
              </w:rPr>
            </w:pPr>
            <w:r w:rsidRPr="00BD42A4">
              <w:rPr>
                <w:rFonts w:asciiTheme="minorHAnsi" w:hAnsiTheme="minorHAnsi"/>
                <w:sz w:val="22"/>
                <w:szCs w:val="22"/>
                <w:lang w:val="es-CL"/>
              </w:rPr>
              <w:t>Taller Nacional sobre el GHS</w:t>
            </w:r>
          </w:p>
        </w:tc>
        <w:tc>
          <w:tcPr>
            <w:tcW w:w="3397" w:type="pct"/>
          </w:tcPr>
          <w:p w:rsidR="00BD42A4" w:rsidRPr="00BD42A4" w:rsidRDefault="00BD42A4" w:rsidP="00606EA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s-CL"/>
              </w:rPr>
            </w:pPr>
            <w:r w:rsidRPr="00BD42A4">
              <w:rPr>
                <w:rFonts w:asciiTheme="minorHAnsi" w:hAnsiTheme="minorHAnsi"/>
                <w:sz w:val="22"/>
                <w:szCs w:val="22"/>
                <w:lang w:val="es-CL"/>
              </w:rPr>
              <w:t>Puede desarrollarse en las etapas iniciales de la creación de capacidades con el fin de coordinar las primeras actividades y capacitar al Comité Coordinador y/o una vez realizado el análisis de Situación y Vacíos para debatir sus resultados y pasos a seguir en la planificación de la estrategia.</w:t>
            </w:r>
          </w:p>
        </w:tc>
      </w:tr>
      <w:tr w:rsidR="00BD42A4" w:rsidRPr="00BD42A4" w:rsidTr="009A20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3" w:type="pct"/>
            <w:tcBorders>
              <w:top w:val="none" w:sz="0" w:space="0" w:color="auto"/>
              <w:left w:val="none" w:sz="0" w:space="0" w:color="auto"/>
              <w:bottom w:val="none" w:sz="0" w:space="0" w:color="auto"/>
            </w:tcBorders>
            <w:vAlign w:val="center"/>
          </w:tcPr>
          <w:p w:rsidR="00BD42A4" w:rsidRPr="00BD42A4" w:rsidRDefault="00BD42A4" w:rsidP="009A2076">
            <w:pPr>
              <w:spacing w:after="0"/>
              <w:jc w:val="left"/>
              <w:rPr>
                <w:rFonts w:asciiTheme="minorHAnsi" w:hAnsiTheme="minorHAnsi"/>
                <w:b w:val="0"/>
                <w:sz w:val="22"/>
                <w:szCs w:val="22"/>
                <w:lang w:val="es-CL"/>
              </w:rPr>
            </w:pPr>
            <w:r w:rsidRPr="00BD42A4">
              <w:rPr>
                <w:rFonts w:asciiTheme="minorHAnsi" w:hAnsiTheme="minorHAnsi"/>
                <w:sz w:val="22"/>
                <w:szCs w:val="22"/>
                <w:lang w:val="es-CL"/>
              </w:rPr>
              <w:t xml:space="preserve">Pruebas de inteligibilidad </w:t>
            </w:r>
          </w:p>
        </w:tc>
        <w:tc>
          <w:tcPr>
            <w:tcW w:w="3397" w:type="pct"/>
            <w:tcBorders>
              <w:top w:val="none" w:sz="0" w:space="0" w:color="auto"/>
              <w:bottom w:val="none" w:sz="0" w:space="0" w:color="auto"/>
              <w:right w:val="none" w:sz="0" w:space="0" w:color="auto"/>
            </w:tcBorders>
          </w:tcPr>
          <w:p w:rsidR="00BD42A4" w:rsidRPr="00BD42A4" w:rsidRDefault="00BD42A4" w:rsidP="00606EA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sidRPr="00BD42A4">
              <w:rPr>
                <w:rFonts w:asciiTheme="minorHAnsi" w:hAnsiTheme="minorHAnsi"/>
                <w:sz w:val="22"/>
                <w:szCs w:val="22"/>
                <w:lang w:val="es-CL"/>
              </w:rPr>
              <w:t xml:space="preserve">Herramienta para evaluar la comprensión de los pictogramas y/o mensajes principales del GHS utilizados en la comunicación de peligros por parte de diversos públicos destinatarios. El Paquete para Pruebas de Inteligibilidad se encuentra disponible en  </w:t>
            </w:r>
          </w:p>
          <w:p w:rsidR="00BD42A4" w:rsidRPr="00BD42A4" w:rsidRDefault="00BD42A4" w:rsidP="00606EA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sidRPr="00BD42A4">
              <w:rPr>
                <w:rFonts w:asciiTheme="minorHAnsi" w:hAnsiTheme="minorHAnsi"/>
                <w:color w:val="0000FF"/>
                <w:sz w:val="22"/>
                <w:szCs w:val="22"/>
                <w:lang w:val="es-CL"/>
              </w:rPr>
              <w:t>www2.unitar.org/cwm/ghs_partnership/CT.htm</w:t>
            </w:r>
            <w:r w:rsidRPr="00BD42A4">
              <w:rPr>
                <w:rFonts w:asciiTheme="minorHAnsi" w:hAnsiTheme="minorHAnsi"/>
                <w:color w:val="000000"/>
                <w:sz w:val="22"/>
                <w:szCs w:val="22"/>
                <w:lang w:val="es-CL"/>
              </w:rPr>
              <w:t>.</w:t>
            </w:r>
          </w:p>
        </w:tc>
      </w:tr>
      <w:tr w:rsidR="00BD42A4" w:rsidRPr="00BD42A4" w:rsidTr="009A2076">
        <w:tc>
          <w:tcPr>
            <w:cnfStyle w:val="001000000000" w:firstRow="0" w:lastRow="0" w:firstColumn="1" w:lastColumn="0" w:oddVBand="0" w:evenVBand="0" w:oddHBand="0" w:evenHBand="0" w:firstRowFirstColumn="0" w:firstRowLastColumn="0" w:lastRowFirstColumn="0" w:lastRowLastColumn="0"/>
            <w:tcW w:w="1603" w:type="pct"/>
            <w:vAlign w:val="center"/>
          </w:tcPr>
          <w:p w:rsidR="00BD42A4" w:rsidRPr="00BD42A4" w:rsidRDefault="00BD42A4" w:rsidP="009A2076">
            <w:pPr>
              <w:spacing w:after="0"/>
              <w:jc w:val="left"/>
              <w:rPr>
                <w:rFonts w:asciiTheme="minorHAnsi" w:hAnsiTheme="minorHAnsi"/>
                <w:b w:val="0"/>
                <w:sz w:val="22"/>
                <w:szCs w:val="22"/>
                <w:lang w:val="es-CL"/>
              </w:rPr>
            </w:pPr>
            <w:r w:rsidRPr="00BD42A4">
              <w:rPr>
                <w:rFonts w:asciiTheme="minorHAnsi" w:hAnsiTheme="minorHAnsi"/>
                <w:sz w:val="22"/>
                <w:szCs w:val="22"/>
                <w:lang w:val="es-CL"/>
              </w:rPr>
              <w:t>Análisis de Situación y Vacíos</w:t>
            </w:r>
          </w:p>
        </w:tc>
        <w:tc>
          <w:tcPr>
            <w:tcW w:w="3397" w:type="pct"/>
          </w:tcPr>
          <w:p w:rsidR="00BD42A4" w:rsidRPr="00BD42A4" w:rsidRDefault="00BD42A4" w:rsidP="00606EA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s-CL"/>
              </w:rPr>
            </w:pPr>
            <w:r w:rsidRPr="00BD42A4">
              <w:rPr>
                <w:rFonts w:asciiTheme="minorHAnsi" w:hAnsiTheme="minorHAnsi"/>
                <w:sz w:val="22"/>
                <w:szCs w:val="22"/>
                <w:lang w:val="es-CL"/>
              </w:rPr>
              <w:t>Documenta la infraestructura y las capacidades existentes a nivel nacional en materia de clasificación y comunicación de peligros químicos y las compara con las disposiciones del GHS. Sus resultados constituyen la base para determinar las acciones necesarias a ser incluidas en los planes de implementación.</w:t>
            </w:r>
          </w:p>
        </w:tc>
      </w:tr>
      <w:tr w:rsidR="00BD42A4" w:rsidRPr="00BD42A4" w:rsidTr="009A20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3" w:type="pct"/>
            <w:tcBorders>
              <w:top w:val="none" w:sz="0" w:space="0" w:color="auto"/>
              <w:left w:val="none" w:sz="0" w:space="0" w:color="auto"/>
              <w:bottom w:val="none" w:sz="0" w:space="0" w:color="auto"/>
            </w:tcBorders>
            <w:vAlign w:val="center"/>
          </w:tcPr>
          <w:p w:rsidR="00BD42A4" w:rsidRPr="00BD42A4" w:rsidRDefault="00BD42A4" w:rsidP="009A2076">
            <w:pPr>
              <w:spacing w:after="0"/>
              <w:jc w:val="left"/>
              <w:rPr>
                <w:rFonts w:asciiTheme="minorHAnsi" w:hAnsiTheme="minorHAnsi"/>
                <w:b w:val="0"/>
                <w:sz w:val="22"/>
                <w:szCs w:val="22"/>
                <w:lang w:val="es-CL"/>
              </w:rPr>
            </w:pPr>
            <w:r w:rsidRPr="00BD42A4">
              <w:rPr>
                <w:rFonts w:asciiTheme="minorHAnsi" w:hAnsiTheme="minorHAnsi"/>
                <w:sz w:val="22"/>
                <w:szCs w:val="22"/>
                <w:lang w:val="es-CL"/>
              </w:rPr>
              <w:t>Análisis jurídico y creación de un marco jurídico para la aplicación del SGA</w:t>
            </w:r>
          </w:p>
        </w:tc>
        <w:tc>
          <w:tcPr>
            <w:tcW w:w="3397" w:type="pct"/>
            <w:tcBorders>
              <w:top w:val="none" w:sz="0" w:space="0" w:color="auto"/>
              <w:bottom w:val="none" w:sz="0" w:space="0" w:color="auto"/>
              <w:right w:val="none" w:sz="0" w:space="0" w:color="auto"/>
            </w:tcBorders>
          </w:tcPr>
          <w:p w:rsidR="00BD42A4" w:rsidRPr="00BD42A4" w:rsidRDefault="00BD42A4" w:rsidP="00606EAC">
            <w:p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sidRPr="00BD42A4">
              <w:rPr>
                <w:rFonts w:asciiTheme="minorHAnsi" w:hAnsiTheme="minorHAnsi"/>
                <w:sz w:val="22"/>
                <w:szCs w:val="22"/>
                <w:lang w:val="es-CL"/>
              </w:rPr>
              <w:t>Análisis de las leyes o los reglamentos vigentes en materia de clasificación y comunicación de peligros, así como los cambios que deben introducirse para la aplicación del GHS</w:t>
            </w:r>
            <w:r w:rsidR="0083794B">
              <w:rPr>
                <w:rFonts w:asciiTheme="minorHAnsi" w:hAnsiTheme="minorHAnsi"/>
                <w:sz w:val="22"/>
                <w:szCs w:val="22"/>
                <w:lang w:val="es-CL"/>
              </w:rPr>
              <w:t>.</w:t>
            </w:r>
          </w:p>
        </w:tc>
      </w:tr>
      <w:tr w:rsidR="00BD42A4" w:rsidRPr="00BD42A4" w:rsidTr="009A2076">
        <w:tc>
          <w:tcPr>
            <w:cnfStyle w:val="001000000000" w:firstRow="0" w:lastRow="0" w:firstColumn="1" w:lastColumn="0" w:oddVBand="0" w:evenVBand="0" w:oddHBand="0" w:evenHBand="0" w:firstRowFirstColumn="0" w:firstRowLastColumn="0" w:lastRowFirstColumn="0" w:lastRowLastColumn="0"/>
            <w:tcW w:w="1603" w:type="pct"/>
            <w:vAlign w:val="center"/>
          </w:tcPr>
          <w:p w:rsidR="00BD42A4" w:rsidRPr="00BD42A4" w:rsidRDefault="00BD42A4" w:rsidP="009A2076">
            <w:pPr>
              <w:spacing w:after="0"/>
              <w:jc w:val="left"/>
              <w:rPr>
                <w:rFonts w:asciiTheme="minorHAnsi" w:hAnsiTheme="minorHAnsi"/>
                <w:b w:val="0"/>
                <w:bCs w:val="0"/>
                <w:sz w:val="22"/>
                <w:szCs w:val="22"/>
                <w:lang w:val="es-CL"/>
              </w:rPr>
            </w:pPr>
            <w:r w:rsidRPr="00BD42A4">
              <w:rPr>
                <w:rFonts w:asciiTheme="minorHAnsi" w:hAnsiTheme="minorHAnsi"/>
                <w:sz w:val="22"/>
                <w:szCs w:val="22"/>
                <w:lang w:val="es-CL"/>
              </w:rPr>
              <w:t>Sensibilización de partes interesadas</w:t>
            </w:r>
          </w:p>
        </w:tc>
        <w:tc>
          <w:tcPr>
            <w:tcW w:w="3397" w:type="pct"/>
          </w:tcPr>
          <w:p w:rsidR="00BD42A4" w:rsidRPr="00BD42A4" w:rsidRDefault="0083794B" w:rsidP="0083794B">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s-CL"/>
              </w:rPr>
            </w:pPr>
            <w:r>
              <w:rPr>
                <w:rFonts w:asciiTheme="minorHAnsi" w:hAnsiTheme="minorHAnsi"/>
                <w:sz w:val="22"/>
                <w:szCs w:val="22"/>
                <w:lang w:val="es-CL"/>
              </w:rPr>
              <w:t>Actividad destinada a e</w:t>
            </w:r>
            <w:r w:rsidR="00BD42A4" w:rsidRPr="00BD42A4">
              <w:rPr>
                <w:rFonts w:asciiTheme="minorHAnsi" w:hAnsiTheme="minorHAnsi"/>
                <w:sz w:val="22"/>
                <w:szCs w:val="22"/>
                <w:lang w:val="es-CL"/>
              </w:rPr>
              <w:t>ntregar información</w:t>
            </w:r>
            <w:r>
              <w:rPr>
                <w:rFonts w:asciiTheme="minorHAnsi" w:hAnsiTheme="minorHAnsi"/>
                <w:sz w:val="22"/>
                <w:szCs w:val="22"/>
                <w:lang w:val="es-CL"/>
              </w:rPr>
              <w:t xml:space="preserve"> para apoyar</w:t>
            </w:r>
            <w:r w:rsidR="00BD42A4" w:rsidRPr="00BD42A4">
              <w:rPr>
                <w:rFonts w:asciiTheme="minorHAnsi" w:hAnsiTheme="minorHAnsi"/>
                <w:sz w:val="22"/>
                <w:szCs w:val="22"/>
                <w:lang w:val="es-CL"/>
              </w:rPr>
              <w:t xml:space="preserve"> la comprensión y ventajas del GHS por parte de los grupos interesados, llegando a la mayor cantidad posible de destinatarios.</w:t>
            </w:r>
          </w:p>
        </w:tc>
      </w:tr>
      <w:tr w:rsidR="00BD42A4" w:rsidRPr="00BD42A4" w:rsidTr="009A20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3" w:type="pct"/>
            <w:tcBorders>
              <w:top w:val="none" w:sz="0" w:space="0" w:color="auto"/>
              <w:left w:val="none" w:sz="0" w:space="0" w:color="auto"/>
              <w:bottom w:val="none" w:sz="0" w:space="0" w:color="auto"/>
            </w:tcBorders>
            <w:vAlign w:val="center"/>
          </w:tcPr>
          <w:p w:rsidR="00BD42A4" w:rsidRPr="00BD42A4" w:rsidRDefault="00BD42A4" w:rsidP="009A2076">
            <w:pPr>
              <w:spacing w:after="0"/>
              <w:jc w:val="left"/>
              <w:rPr>
                <w:rFonts w:asciiTheme="minorHAnsi" w:hAnsiTheme="minorHAnsi"/>
                <w:b w:val="0"/>
                <w:bCs w:val="0"/>
                <w:sz w:val="22"/>
                <w:szCs w:val="22"/>
                <w:lang w:val="es-CL"/>
              </w:rPr>
            </w:pPr>
            <w:r w:rsidRPr="00BD42A4">
              <w:rPr>
                <w:rFonts w:asciiTheme="minorHAnsi" w:hAnsiTheme="minorHAnsi"/>
                <w:sz w:val="22"/>
                <w:szCs w:val="22"/>
                <w:lang w:val="es-CL"/>
              </w:rPr>
              <w:t>Formación técnica</w:t>
            </w:r>
          </w:p>
        </w:tc>
        <w:tc>
          <w:tcPr>
            <w:tcW w:w="3397" w:type="pct"/>
            <w:tcBorders>
              <w:top w:val="none" w:sz="0" w:space="0" w:color="auto"/>
              <w:bottom w:val="none" w:sz="0" w:space="0" w:color="auto"/>
              <w:right w:val="none" w:sz="0" w:space="0" w:color="auto"/>
            </w:tcBorders>
          </w:tcPr>
          <w:p w:rsidR="00BD42A4" w:rsidRPr="00BD42A4" w:rsidRDefault="00BD42A4" w:rsidP="00606EAC">
            <w:p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sidRPr="00BD42A4">
              <w:rPr>
                <w:rFonts w:asciiTheme="minorHAnsi" w:hAnsiTheme="minorHAnsi"/>
                <w:sz w:val="22"/>
                <w:szCs w:val="22"/>
                <w:lang w:val="es-CL"/>
              </w:rPr>
              <w:t>Actividades tendientes a mejorar las capacidades para la aplicación del GHS. Entre los recursos disponibles se encuentra material de UNITAR como “Introducción al GHS”, un curso de formación básico que ofrece información general sobre el GHS y un curso de formación avanzado sobre el sistema, que profundiza en los aspectos técnicos de la clasificación y la comunicación de peligros del GHS.</w:t>
            </w:r>
          </w:p>
        </w:tc>
      </w:tr>
      <w:tr w:rsidR="00BD42A4" w:rsidRPr="00BD42A4" w:rsidTr="009A2076">
        <w:tc>
          <w:tcPr>
            <w:cnfStyle w:val="001000000000" w:firstRow="0" w:lastRow="0" w:firstColumn="1" w:lastColumn="0" w:oddVBand="0" w:evenVBand="0" w:oddHBand="0" w:evenHBand="0" w:firstRowFirstColumn="0" w:firstRowLastColumn="0" w:lastRowFirstColumn="0" w:lastRowLastColumn="0"/>
            <w:tcW w:w="1603" w:type="pct"/>
            <w:vAlign w:val="center"/>
          </w:tcPr>
          <w:p w:rsidR="00BD42A4" w:rsidRPr="00BD42A4" w:rsidRDefault="00BD42A4" w:rsidP="009A2076">
            <w:pPr>
              <w:spacing w:after="0"/>
              <w:jc w:val="left"/>
              <w:rPr>
                <w:rFonts w:asciiTheme="minorHAnsi" w:hAnsiTheme="minorHAnsi"/>
                <w:b w:val="0"/>
                <w:sz w:val="22"/>
                <w:szCs w:val="22"/>
                <w:lang w:val="es-CL"/>
              </w:rPr>
            </w:pPr>
            <w:r w:rsidRPr="00BD42A4">
              <w:rPr>
                <w:rFonts w:asciiTheme="minorHAnsi" w:hAnsiTheme="minorHAnsi"/>
                <w:sz w:val="22"/>
                <w:szCs w:val="22"/>
                <w:lang w:val="es-CL"/>
              </w:rPr>
              <w:t>Planes sectoriales de implementación</w:t>
            </w:r>
          </w:p>
        </w:tc>
        <w:tc>
          <w:tcPr>
            <w:tcW w:w="3397" w:type="pct"/>
          </w:tcPr>
          <w:p w:rsidR="00BD42A4" w:rsidRPr="00BD42A4" w:rsidRDefault="00BD42A4" w:rsidP="00606EA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s-CL"/>
              </w:rPr>
            </w:pPr>
            <w:r w:rsidRPr="00BD42A4">
              <w:rPr>
                <w:rFonts w:asciiTheme="minorHAnsi" w:hAnsiTheme="minorHAnsi"/>
                <w:sz w:val="22"/>
                <w:szCs w:val="22"/>
                <w:lang w:val="es-CL"/>
              </w:rPr>
              <w:t>Permiten estructurar los objetivos, responsabilidades y plazos de la aplicación del GHS en los sectores claves. Permite mayor flexibilidad en la consideración de las situaciones bases y los resultados de los Análisis de Situación y Vacíos de cada sector.</w:t>
            </w:r>
          </w:p>
        </w:tc>
      </w:tr>
      <w:tr w:rsidR="00BD42A4" w:rsidRPr="00BD42A4" w:rsidTr="009A20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3" w:type="pct"/>
            <w:tcBorders>
              <w:top w:val="none" w:sz="0" w:space="0" w:color="auto"/>
              <w:left w:val="none" w:sz="0" w:space="0" w:color="auto"/>
              <w:bottom w:val="none" w:sz="0" w:space="0" w:color="auto"/>
            </w:tcBorders>
            <w:vAlign w:val="center"/>
          </w:tcPr>
          <w:p w:rsidR="00BD42A4" w:rsidRPr="00BD42A4" w:rsidRDefault="00BD42A4" w:rsidP="009A2076">
            <w:pPr>
              <w:spacing w:after="0"/>
              <w:jc w:val="left"/>
              <w:rPr>
                <w:rFonts w:asciiTheme="minorHAnsi" w:hAnsiTheme="minorHAnsi"/>
                <w:b w:val="0"/>
                <w:sz w:val="22"/>
                <w:szCs w:val="22"/>
                <w:lang w:val="es-CL"/>
              </w:rPr>
            </w:pPr>
            <w:r w:rsidRPr="00BD42A4">
              <w:rPr>
                <w:rFonts w:asciiTheme="minorHAnsi" w:hAnsiTheme="minorHAnsi"/>
                <w:sz w:val="22"/>
                <w:szCs w:val="22"/>
                <w:lang w:val="es-CL"/>
              </w:rPr>
              <w:t>Preparación de Estrategia Nacional de Implementación de GHS</w:t>
            </w:r>
          </w:p>
        </w:tc>
        <w:tc>
          <w:tcPr>
            <w:tcW w:w="3397" w:type="pct"/>
            <w:tcBorders>
              <w:top w:val="none" w:sz="0" w:space="0" w:color="auto"/>
              <w:bottom w:val="none" w:sz="0" w:space="0" w:color="auto"/>
              <w:right w:val="none" w:sz="0" w:space="0" w:color="auto"/>
            </w:tcBorders>
          </w:tcPr>
          <w:p w:rsidR="00BD42A4" w:rsidRPr="00BD42A4" w:rsidRDefault="00BD42A4" w:rsidP="00606EA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sidRPr="00BD42A4">
              <w:rPr>
                <w:rFonts w:asciiTheme="minorHAnsi" w:hAnsiTheme="minorHAnsi"/>
                <w:sz w:val="22"/>
                <w:szCs w:val="22"/>
                <w:lang w:val="es-CL"/>
              </w:rPr>
              <w:t>Debe incluir los siguientes elementos: Plazo para completar aplicación incluidos períodos de transición, Organigrama del Comité Nacional de Aplicación y subcomités, Medios de aplicación (proyectos pilotos), Detalle de actividades para garantizar la aplicación del GHS, Recursos necesarios y medios para adquirirlos, Sinergia con otros acuerdos internacionales, etc.</w:t>
            </w:r>
          </w:p>
        </w:tc>
      </w:tr>
      <w:tr w:rsidR="00BD42A4" w:rsidRPr="00BD42A4" w:rsidTr="009A2076">
        <w:tc>
          <w:tcPr>
            <w:cnfStyle w:val="001000000000" w:firstRow="0" w:lastRow="0" w:firstColumn="1" w:lastColumn="0" w:oddVBand="0" w:evenVBand="0" w:oddHBand="0" w:evenHBand="0" w:firstRowFirstColumn="0" w:firstRowLastColumn="0" w:lastRowFirstColumn="0" w:lastRowLastColumn="0"/>
            <w:tcW w:w="1603" w:type="pct"/>
            <w:vAlign w:val="center"/>
          </w:tcPr>
          <w:p w:rsidR="00BD42A4" w:rsidRPr="00BD42A4" w:rsidRDefault="00BD42A4" w:rsidP="009A2076">
            <w:pPr>
              <w:spacing w:after="0"/>
              <w:jc w:val="left"/>
              <w:rPr>
                <w:rFonts w:asciiTheme="minorHAnsi" w:hAnsiTheme="minorHAnsi"/>
                <w:b w:val="0"/>
                <w:sz w:val="22"/>
                <w:szCs w:val="22"/>
                <w:lang w:val="es-CL"/>
              </w:rPr>
            </w:pPr>
            <w:r w:rsidRPr="00BD42A4">
              <w:rPr>
                <w:rFonts w:asciiTheme="minorHAnsi" w:hAnsiTheme="minorHAnsi"/>
                <w:sz w:val="22"/>
                <w:szCs w:val="22"/>
                <w:lang w:val="es-CL"/>
              </w:rPr>
              <w:t>Desarrollo/Modificación de regulaciones nacionales para implementación de GHS</w:t>
            </w:r>
          </w:p>
        </w:tc>
        <w:tc>
          <w:tcPr>
            <w:tcW w:w="3397" w:type="pct"/>
          </w:tcPr>
          <w:p w:rsidR="00BD42A4" w:rsidRPr="00BD42A4" w:rsidRDefault="00BD42A4" w:rsidP="00606EA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s-CL"/>
              </w:rPr>
            </w:pPr>
            <w:r w:rsidRPr="00BD42A4">
              <w:rPr>
                <w:rFonts w:asciiTheme="minorHAnsi" w:hAnsiTheme="minorHAnsi"/>
                <w:sz w:val="22"/>
                <w:szCs w:val="22"/>
                <w:lang w:val="es-CL"/>
              </w:rPr>
              <w:t>A partir de los resultados del análisis jurídico, se establecen medidas para la construcción del marco jurídico para aplicación de GHS, las que pueden incluir: Nuevas leyes por sector o global, Enmienda a leyes vigentes, Única ley unificada, Enmienda de normas, etc.</w:t>
            </w:r>
          </w:p>
        </w:tc>
      </w:tr>
      <w:tr w:rsidR="00BD42A4" w:rsidRPr="00BD42A4" w:rsidTr="009A20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3" w:type="pct"/>
            <w:tcBorders>
              <w:top w:val="none" w:sz="0" w:space="0" w:color="auto"/>
              <w:left w:val="none" w:sz="0" w:space="0" w:color="auto"/>
              <w:bottom w:val="none" w:sz="0" w:space="0" w:color="auto"/>
            </w:tcBorders>
            <w:vAlign w:val="center"/>
          </w:tcPr>
          <w:p w:rsidR="00BD42A4" w:rsidRPr="00BD42A4" w:rsidRDefault="00BD42A4" w:rsidP="009A2076">
            <w:pPr>
              <w:spacing w:after="0"/>
              <w:jc w:val="left"/>
              <w:rPr>
                <w:rFonts w:asciiTheme="minorHAnsi" w:hAnsiTheme="minorHAnsi"/>
                <w:b w:val="0"/>
                <w:sz w:val="22"/>
                <w:szCs w:val="22"/>
                <w:lang w:val="es-CL"/>
              </w:rPr>
            </w:pPr>
            <w:r w:rsidRPr="00BD42A4">
              <w:rPr>
                <w:rFonts w:asciiTheme="minorHAnsi" w:hAnsiTheme="minorHAnsi"/>
                <w:sz w:val="22"/>
                <w:szCs w:val="22"/>
                <w:lang w:val="es-CL"/>
              </w:rPr>
              <w:t>Divulgación y comunicación regional e internacional</w:t>
            </w:r>
          </w:p>
        </w:tc>
        <w:tc>
          <w:tcPr>
            <w:tcW w:w="3397" w:type="pct"/>
            <w:tcBorders>
              <w:top w:val="none" w:sz="0" w:space="0" w:color="auto"/>
              <w:bottom w:val="none" w:sz="0" w:space="0" w:color="auto"/>
              <w:right w:val="none" w:sz="0" w:space="0" w:color="auto"/>
            </w:tcBorders>
          </w:tcPr>
          <w:p w:rsidR="00BD42A4" w:rsidRPr="00BD42A4" w:rsidRDefault="00BD42A4" w:rsidP="00606EA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sidRPr="00BD42A4">
              <w:rPr>
                <w:rFonts w:asciiTheme="minorHAnsi" w:hAnsiTheme="minorHAnsi"/>
                <w:sz w:val="22"/>
                <w:szCs w:val="22"/>
                <w:lang w:val="es-CL"/>
              </w:rPr>
              <w:t>Instancia para la creación de capacidades mediante redes de divulgación e intercambio de información, a través de programas de intercambio y cooperación, sitios web, base de datos, talleres regionales, etc.</w:t>
            </w:r>
          </w:p>
        </w:tc>
      </w:tr>
    </w:tbl>
    <w:p w:rsidR="00BD42A4" w:rsidRPr="004C65D0" w:rsidRDefault="00BD42A4" w:rsidP="00675AC0">
      <w:pPr>
        <w:ind w:right="369"/>
        <w:contextualSpacing/>
        <w:jc w:val="both"/>
        <w:rPr>
          <w:b/>
          <w:sz w:val="22"/>
          <w:szCs w:val="22"/>
        </w:rPr>
      </w:pPr>
    </w:p>
    <w:p w:rsidR="00BD42A4" w:rsidRPr="00BD42A4" w:rsidRDefault="00BD42A4" w:rsidP="00606EAC">
      <w:pPr>
        <w:jc w:val="both"/>
        <w:rPr>
          <w:sz w:val="22"/>
          <w:szCs w:val="22"/>
          <w:lang w:val="es-CL"/>
        </w:rPr>
      </w:pPr>
      <w:r w:rsidRPr="00BD42A4">
        <w:rPr>
          <w:sz w:val="22"/>
          <w:szCs w:val="22"/>
          <w:lang w:val="es-CL"/>
        </w:rPr>
        <w:t>Las actividades descritas anteriormente son de carácter flexible y no representan obligaciones a seguir, dado que el proceso de implementación del GHS podría variar según la situación específica de cada país, pudiendo algunos de los pasos ser adoptados o modificados según sea necesario, sin embargo, estos elementos corresponden a un enfoque común en varios ejemplos de proyectos nacionales de aplicación de GHS y serán utilizados para el diagnóstico técnico de la situación actual en Chile</w:t>
      </w:r>
      <w:r w:rsidR="00E47B27">
        <w:rPr>
          <w:sz w:val="22"/>
          <w:szCs w:val="22"/>
          <w:lang w:val="es-CL"/>
        </w:rPr>
        <w:t>.</w:t>
      </w:r>
    </w:p>
    <w:p w:rsidR="00BD42A4" w:rsidRPr="00BD42A4" w:rsidRDefault="00BD42A4" w:rsidP="00606EAC">
      <w:pPr>
        <w:jc w:val="both"/>
        <w:rPr>
          <w:sz w:val="22"/>
          <w:szCs w:val="22"/>
          <w:lang w:val="es-CL"/>
        </w:rPr>
      </w:pPr>
      <w:r w:rsidRPr="00BD42A4">
        <w:rPr>
          <w:sz w:val="22"/>
          <w:szCs w:val="22"/>
          <w:lang w:val="es-CL"/>
        </w:rPr>
        <w:t>Por otra parte, estas actividades pueden llevarse a cabo con el apoyo de diversos instrumentos y recursos ofrecidos por organizaciones internacionales relacionadas con temas del GHS. En particular, se encuentran disponibles 2 tipos de recursos:</w:t>
      </w:r>
    </w:p>
    <w:p w:rsidR="00BD42A4" w:rsidRPr="00BD42A4" w:rsidRDefault="00BD42A4" w:rsidP="00D4302C">
      <w:pPr>
        <w:pStyle w:val="ListParagraph"/>
        <w:numPr>
          <w:ilvl w:val="0"/>
          <w:numId w:val="30"/>
        </w:numPr>
        <w:contextualSpacing w:val="0"/>
        <w:jc w:val="both"/>
        <w:rPr>
          <w:sz w:val="22"/>
          <w:szCs w:val="22"/>
          <w:lang w:val="es-CL"/>
        </w:rPr>
      </w:pPr>
      <w:r w:rsidRPr="00BD42A4">
        <w:rPr>
          <w:sz w:val="22"/>
          <w:szCs w:val="22"/>
          <w:lang w:val="es-CL"/>
        </w:rPr>
        <w:t>Documentación acerca de experiencias de implementación de GHS en otros países a través de, por ejemplo, la Biblioteca en línea sobre GHS de Chemical and Waste Management de UNITAR y reportes de intercambio de experiencias de OCDE y APE</w:t>
      </w:r>
      <w:r>
        <w:rPr>
          <w:sz w:val="22"/>
          <w:szCs w:val="22"/>
          <w:lang w:val="es-CL"/>
        </w:rPr>
        <w:t>C (detallados en los puntos 3.1.4 y 3.1.5)</w:t>
      </w:r>
      <w:r w:rsidR="00743404">
        <w:rPr>
          <w:sz w:val="22"/>
          <w:szCs w:val="22"/>
          <w:lang w:val="es-CL"/>
        </w:rPr>
        <w:t>.</w:t>
      </w:r>
    </w:p>
    <w:p w:rsidR="00BD42A4" w:rsidRPr="00BD42A4" w:rsidRDefault="00BD42A4" w:rsidP="00D4302C">
      <w:pPr>
        <w:pStyle w:val="ListParagraph"/>
        <w:numPr>
          <w:ilvl w:val="0"/>
          <w:numId w:val="30"/>
        </w:numPr>
        <w:jc w:val="both"/>
        <w:rPr>
          <w:sz w:val="22"/>
          <w:szCs w:val="22"/>
          <w:lang w:val="es-CL"/>
        </w:rPr>
      </w:pPr>
      <w:r w:rsidRPr="00BD42A4">
        <w:rPr>
          <w:sz w:val="22"/>
          <w:szCs w:val="22"/>
          <w:lang w:val="es-CL"/>
        </w:rPr>
        <w:t xml:space="preserve">Apoyo técnico y financiero </w:t>
      </w:r>
      <w:r w:rsidR="00E47B27">
        <w:rPr>
          <w:sz w:val="22"/>
          <w:szCs w:val="22"/>
          <w:lang w:val="es-CL"/>
        </w:rPr>
        <w:t>a través de</w:t>
      </w:r>
      <w:r w:rsidRPr="00BD42A4">
        <w:rPr>
          <w:sz w:val="22"/>
          <w:szCs w:val="22"/>
          <w:lang w:val="es-CL"/>
        </w:rPr>
        <w:t xml:space="preserve"> material de apoyo sobre capacitación, sensibilización y clasificación de sustancias y mediante financiamiento para la creación de capacidades por parte de acuerdos internacionales, respectivamente </w:t>
      </w:r>
      <w:r>
        <w:rPr>
          <w:sz w:val="22"/>
          <w:szCs w:val="22"/>
          <w:lang w:val="es-CL"/>
        </w:rPr>
        <w:t>(detallados en los puntos 3.2.1 y 3.2.2)</w:t>
      </w:r>
      <w:r w:rsidR="00743404">
        <w:rPr>
          <w:sz w:val="22"/>
          <w:szCs w:val="22"/>
          <w:lang w:val="es-CL"/>
        </w:rPr>
        <w:t>.</w:t>
      </w:r>
    </w:p>
    <w:p w:rsidR="004C65D0" w:rsidRPr="002D4486" w:rsidRDefault="00BD42A4" w:rsidP="002F3DB8">
      <w:pPr>
        <w:pStyle w:val="Heading4"/>
        <w:spacing w:before="0" w:after="180"/>
        <w:ind w:left="709" w:hanging="722"/>
        <w:rPr>
          <w:b/>
          <w:i/>
          <w:caps w:val="0"/>
        </w:rPr>
      </w:pPr>
      <w:bookmarkStart w:id="28" w:name="_Toc388552065"/>
      <w:r>
        <w:rPr>
          <w:b/>
          <w:i/>
          <w:caps w:val="0"/>
        </w:rPr>
        <w:t xml:space="preserve"> </w:t>
      </w:r>
      <w:bookmarkStart w:id="29" w:name="_Toc418168858"/>
      <w:r w:rsidR="004C65D0" w:rsidRPr="002D4486">
        <w:rPr>
          <w:b/>
          <w:i/>
          <w:caps w:val="0"/>
        </w:rPr>
        <w:t>Curso básico “Introducción al GHS” (UNITAR, 2011)</w:t>
      </w:r>
      <w:bookmarkEnd w:id="28"/>
      <w:bookmarkEnd w:id="29"/>
    </w:p>
    <w:p w:rsidR="004C65D0" w:rsidRPr="004C65D0" w:rsidRDefault="004C65D0" w:rsidP="002F3DB8">
      <w:pPr>
        <w:autoSpaceDE w:val="0"/>
        <w:autoSpaceDN w:val="0"/>
        <w:adjustRightInd w:val="0"/>
        <w:jc w:val="both"/>
        <w:rPr>
          <w:sz w:val="22"/>
          <w:szCs w:val="22"/>
          <w:lang w:val="es-ES"/>
        </w:rPr>
      </w:pPr>
      <w:r w:rsidRPr="004C65D0">
        <w:rPr>
          <w:sz w:val="22"/>
          <w:szCs w:val="22"/>
          <w:lang w:val="es-ES"/>
        </w:rPr>
        <w:t>Este curso tiene por objetivo conocer y comprender el sistema GHS, su desarrollo, propósito y beneficios, además de su alcance, aplicación, elementos básicos y la relación con otras normas y acuerdos internacionales.</w:t>
      </w:r>
    </w:p>
    <w:p w:rsidR="004C65D0" w:rsidRPr="004C65D0" w:rsidRDefault="004C65D0" w:rsidP="002F3DB8">
      <w:pPr>
        <w:autoSpaceDE w:val="0"/>
        <w:autoSpaceDN w:val="0"/>
        <w:adjustRightInd w:val="0"/>
        <w:jc w:val="both"/>
        <w:rPr>
          <w:sz w:val="22"/>
          <w:szCs w:val="22"/>
          <w:lang w:val="es-ES"/>
        </w:rPr>
      </w:pPr>
      <w:r w:rsidRPr="004C65D0">
        <w:rPr>
          <w:sz w:val="22"/>
          <w:szCs w:val="22"/>
          <w:lang w:val="es-ES"/>
        </w:rPr>
        <w:t>En su primer capítulo se detallan los antecedentes y contexto del GHS donde se explica principalmente cómo se desarrolló el sistema y los principios básicos de armonización, y luego el alcance y aplicación del GHS que muestra cuáles son los productos químicos cubiertos por el GHS, los sectores afectados, cómo los componentes de comunicación de riesgos se aplican en el GHS y la forma de aplicación del sistema. En este último aspecto es relevante destacar lo descrito sobre la implementación del GHS</w:t>
      </w:r>
      <w:r w:rsidR="00B50C11">
        <w:rPr>
          <w:sz w:val="22"/>
          <w:szCs w:val="22"/>
          <w:lang w:val="es-ES"/>
        </w:rPr>
        <w:t xml:space="preserve">, la cual </w:t>
      </w:r>
      <w:r w:rsidRPr="004C65D0">
        <w:rPr>
          <w:sz w:val="22"/>
          <w:szCs w:val="22"/>
          <w:lang w:val="es-ES"/>
        </w:rPr>
        <w:t>se basa en un “Enfoque mediante módulos” o “</w:t>
      </w:r>
      <w:r w:rsidRPr="00731EAC">
        <w:rPr>
          <w:i/>
          <w:sz w:val="22"/>
          <w:szCs w:val="22"/>
          <w:lang w:val="es-ES"/>
        </w:rPr>
        <w:t>Building Block Approach</w:t>
      </w:r>
      <w:r w:rsidRPr="004C65D0">
        <w:rPr>
          <w:sz w:val="22"/>
          <w:szCs w:val="22"/>
          <w:lang w:val="es-ES"/>
        </w:rPr>
        <w:t xml:space="preserve">”  en el cual la aplicación del sistema puede variar de acuerdo a las circunstancias y necesidades específicas de cada país y/o sector determinadas en el análisis de situación actual. Es así como los países no están obligados a cubrir todas las clases y categorías del GHS y dependerá de ellos decidir qué componentes básicos son necesarios para construir un enfoque adecuado teniendo en cuenta las exigencias de cada sector. </w:t>
      </w:r>
    </w:p>
    <w:p w:rsidR="004C65D0" w:rsidRPr="004C65D0" w:rsidRDefault="004C65D0" w:rsidP="002F3DB8">
      <w:pPr>
        <w:autoSpaceDE w:val="0"/>
        <w:autoSpaceDN w:val="0"/>
        <w:adjustRightInd w:val="0"/>
        <w:jc w:val="both"/>
        <w:rPr>
          <w:sz w:val="22"/>
          <w:szCs w:val="22"/>
          <w:lang w:val="es-ES"/>
        </w:rPr>
      </w:pPr>
      <w:r w:rsidRPr="004C65D0">
        <w:rPr>
          <w:sz w:val="22"/>
          <w:szCs w:val="22"/>
          <w:lang w:val="es-ES"/>
        </w:rPr>
        <w:t>En el capítulo 2 se realiza la descripción técnica del GHS donde se explica cómo efectuar la clasificación, cuáles son los peligros físicos, a la salud y ambientales que están cubiertos por el GHS y cómo comprender los elementos claves de la comunic</w:t>
      </w:r>
      <w:r w:rsidR="00251523">
        <w:rPr>
          <w:sz w:val="22"/>
          <w:szCs w:val="22"/>
          <w:lang w:val="es-ES"/>
        </w:rPr>
        <w:t>ación de peligros (etiquetas y hojas</w:t>
      </w:r>
      <w:r w:rsidRPr="004C65D0">
        <w:rPr>
          <w:sz w:val="22"/>
          <w:szCs w:val="22"/>
          <w:lang w:val="es-ES"/>
        </w:rPr>
        <w:t xml:space="preserve"> de seguridad).</w:t>
      </w:r>
    </w:p>
    <w:p w:rsidR="004C65D0" w:rsidRPr="004C65D0" w:rsidRDefault="004C65D0" w:rsidP="002F3DB8">
      <w:pPr>
        <w:autoSpaceDE w:val="0"/>
        <w:autoSpaceDN w:val="0"/>
        <w:adjustRightInd w:val="0"/>
        <w:jc w:val="both"/>
        <w:rPr>
          <w:sz w:val="22"/>
          <w:szCs w:val="22"/>
          <w:lang w:val="es-ES"/>
        </w:rPr>
      </w:pPr>
      <w:r w:rsidRPr="004C65D0">
        <w:rPr>
          <w:sz w:val="22"/>
          <w:szCs w:val="22"/>
          <w:lang w:val="es-ES"/>
        </w:rPr>
        <w:t>Finalmente, el capítulo 3 explica los roles y responsabilidades de los distintos actores (sociedad civil, gobierno e industria) en la implementación y las opciones legislativas para ella. Un ejemplo de este último punto a destacar, señala que los países deben tomar las disposiciones necesarias, mediante procedimientos o leyes nacionales apropiadas de acuerdo a sus propias necesidades para armonizar los elementos del GHS con sus sistemas normativos vigentes.</w:t>
      </w:r>
    </w:p>
    <w:p w:rsidR="004C65D0" w:rsidRPr="004C65D0" w:rsidRDefault="004C65D0" w:rsidP="002F3DB8">
      <w:pPr>
        <w:pStyle w:val="Heading3"/>
        <w:spacing w:before="180" w:after="180" w:line="264" w:lineRule="auto"/>
        <w:ind w:left="709" w:right="0"/>
      </w:pPr>
      <w:bookmarkStart w:id="30" w:name="_Toc418168859"/>
      <w:bookmarkStart w:id="31" w:name="_Toc388552067"/>
      <w:r w:rsidRPr="004C65D0">
        <w:t>UNECE</w:t>
      </w:r>
      <w:bookmarkEnd w:id="30"/>
    </w:p>
    <w:p w:rsidR="004C65D0" w:rsidRPr="004C65D0" w:rsidRDefault="004C65D0" w:rsidP="00606EAC">
      <w:pPr>
        <w:jc w:val="both"/>
        <w:rPr>
          <w:sz w:val="22"/>
          <w:szCs w:val="22"/>
        </w:rPr>
      </w:pPr>
      <w:r w:rsidRPr="004C65D0">
        <w:rPr>
          <w:sz w:val="22"/>
          <w:szCs w:val="22"/>
        </w:rPr>
        <w:t>La Comisión Económica de las Naciones Unidas para Europa (UNECE) es una de las 5 comisiones regionales de las Naciones Unidas y su principal objetivo es promover la integración económica europea facilitando el comercio exterior, la inversión extranjera y la integración de las redes de transporte internacional. En la página web de la Comisión Técnica de Transporte de la UNECE, en particular, en la sección de mercancías peligrosas, se encuentra información acerca los instrumentos legales y recomendaciones como la Reglamentación Modelo- Recomendaciones relativas al transporte de mercancías peligrosas y el Sistema Globalmente Armonizado GHS (</w:t>
      </w:r>
      <w:hyperlink r:id="rId14" w:history="1">
        <w:r w:rsidRPr="002D0393">
          <w:rPr>
            <w:rStyle w:val="Hyperlink"/>
            <w:color w:val="0070C0"/>
            <w:sz w:val="22"/>
            <w:szCs w:val="22"/>
          </w:rPr>
          <w:t>http://www.unece.org/es/transport/areas-of-work/dangerous-goods/legal-instruments-and-recommendations.htm</w:t>
        </w:r>
        <w:r w:rsidRPr="004C65D0">
          <w:rPr>
            <w:rStyle w:val="Hyperlink"/>
            <w:sz w:val="22"/>
            <w:szCs w:val="22"/>
          </w:rPr>
          <w:t>l</w:t>
        </w:r>
      </w:hyperlink>
      <w:r w:rsidRPr="004C65D0">
        <w:rPr>
          <w:sz w:val="22"/>
          <w:szCs w:val="22"/>
        </w:rPr>
        <w:t>)</w:t>
      </w:r>
    </w:p>
    <w:p w:rsidR="004C65D0" w:rsidRDefault="004C65D0" w:rsidP="00606EAC">
      <w:pPr>
        <w:tabs>
          <w:tab w:val="left" w:pos="142"/>
        </w:tabs>
        <w:jc w:val="both"/>
        <w:rPr>
          <w:sz w:val="22"/>
          <w:szCs w:val="22"/>
        </w:rPr>
      </w:pPr>
      <w:r w:rsidRPr="004C65D0">
        <w:rPr>
          <w:sz w:val="22"/>
          <w:szCs w:val="22"/>
        </w:rPr>
        <w:t>Específicamente en lo referido al GHS, está página contiene información sobre las distint</w:t>
      </w:r>
      <w:r w:rsidR="00457970">
        <w:rPr>
          <w:sz w:val="22"/>
          <w:szCs w:val="22"/>
        </w:rPr>
        <w:t>as ediciones del documento del s</w:t>
      </w:r>
      <w:r w:rsidRPr="004C65D0">
        <w:rPr>
          <w:sz w:val="22"/>
          <w:szCs w:val="22"/>
        </w:rPr>
        <w:t>istema GHS</w:t>
      </w:r>
      <w:r w:rsidR="00675AC0">
        <w:rPr>
          <w:sz w:val="22"/>
          <w:szCs w:val="22"/>
        </w:rPr>
        <w:t xml:space="preserve"> (Libro P</w:t>
      </w:r>
      <w:r w:rsidR="00457970">
        <w:rPr>
          <w:sz w:val="22"/>
          <w:szCs w:val="22"/>
        </w:rPr>
        <w:t>úrpura)</w:t>
      </w:r>
      <w:r w:rsidRPr="004C65D0">
        <w:rPr>
          <w:sz w:val="22"/>
          <w:szCs w:val="22"/>
        </w:rPr>
        <w:t>, presentaciones con los c</w:t>
      </w:r>
      <w:r w:rsidR="00457970">
        <w:rPr>
          <w:sz w:val="22"/>
          <w:szCs w:val="22"/>
        </w:rPr>
        <w:t xml:space="preserve">ontenidos del GHS, pictogramas, </w:t>
      </w:r>
      <w:r w:rsidRPr="004C65D0">
        <w:rPr>
          <w:sz w:val="22"/>
          <w:szCs w:val="22"/>
        </w:rPr>
        <w:t>actividades relacionadas a la creación del sistema, estatus de implementación en distintos países alrededor del mundo y guías para aplicación del GHS principalmente.</w:t>
      </w:r>
    </w:p>
    <w:p w:rsidR="00603B08" w:rsidRDefault="00603B08" w:rsidP="00606EAC">
      <w:pPr>
        <w:tabs>
          <w:tab w:val="left" w:pos="142"/>
        </w:tabs>
        <w:jc w:val="both"/>
        <w:rPr>
          <w:sz w:val="22"/>
          <w:szCs w:val="22"/>
        </w:rPr>
      </w:pPr>
    </w:p>
    <w:p w:rsidR="00527081" w:rsidRDefault="00527081" w:rsidP="00606EAC">
      <w:pPr>
        <w:tabs>
          <w:tab w:val="left" w:pos="142"/>
        </w:tabs>
        <w:jc w:val="both"/>
        <w:rPr>
          <w:sz w:val="22"/>
          <w:szCs w:val="22"/>
        </w:rPr>
      </w:pPr>
    </w:p>
    <w:p w:rsidR="004C65D0" w:rsidRPr="004C65D0" w:rsidRDefault="004C65D0" w:rsidP="002F3DB8">
      <w:pPr>
        <w:pStyle w:val="Heading3"/>
        <w:spacing w:line="264" w:lineRule="auto"/>
        <w:ind w:left="709" w:right="0"/>
      </w:pPr>
      <w:bookmarkStart w:id="32" w:name="_Toc418168860"/>
      <w:r w:rsidRPr="004C65D0">
        <w:t>REACH - CLP</w:t>
      </w:r>
      <w:bookmarkEnd w:id="31"/>
      <w:r w:rsidR="005B5E00">
        <w:rPr>
          <w:rStyle w:val="FootnoteReference"/>
        </w:rPr>
        <w:footnoteReference w:id="2"/>
      </w:r>
      <w:bookmarkEnd w:id="32"/>
    </w:p>
    <w:p w:rsidR="004C65D0" w:rsidRPr="004C65D0" w:rsidRDefault="004C65D0" w:rsidP="002F3DB8">
      <w:pPr>
        <w:jc w:val="both"/>
        <w:rPr>
          <w:sz w:val="22"/>
          <w:szCs w:val="22"/>
        </w:rPr>
      </w:pPr>
      <w:r w:rsidRPr="004C65D0">
        <w:rPr>
          <w:sz w:val="22"/>
          <w:szCs w:val="22"/>
        </w:rPr>
        <w:t>El REACH, o Reglamento REACH sobre registro, evaluación, autorización y restricción de sustancias químicas, supone una reforma total del marco legislativo sobre sustancias y mezclas químicas en la Unión Europea. Su principal objetivo es garantizar un alto nivel de protección de la salud humana y el medio ambiente, para lo cual introduce la obligación de efectuar un registro de todas las sustancias químicas que se comercializan dentro del territorio de la Unión Europea, de modo que al momento de su entrada en vigor, no se podrá comercializar ninguna </w:t>
      </w:r>
      <w:hyperlink r:id="rId15" w:tooltip="Término sustancia en el glosario" w:history="1">
        <w:r w:rsidRPr="004C65D0">
          <w:rPr>
            <w:sz w:val="22"/>
            <w:szCs w:val="22"/>
          </w:rPr>
          <w:t>sustancia</w:t>
        </w:r>
      </w:hyperlink>
      <w:r w:rsidRPr="004C65D0">
        <w:rPr>
          <w:sz w:val="22"/>
          <w:szCs w:val="22"/>
        </w:rPr>
        <w:t> que no se encuentre registrada.</w:t>
      </w:r>
    </w:p>
    <w:p w:rsidR="004C65D0" w:rsidRPr="004C65D0" w:rsidRDefault="004C65D0" w:rsidP="002F3DB8">
      <w:pPr>
        <w:tabs>
          <w:tab w:val="left" w:pos="9781"/>
        </w:tabs>
        <w:jc w:val="both"/>
        <w:rPr>
          <w:sz w:val="22"/>
          <w:szCs w:val="22"/>
        </w:rPr>
      </w:pPr>
      <w:r w:rsidRPr="004C65D0">
        <w:rPr>
          <w:sz w:val="22"/>
          <w:szCs w:val="22"/>
        </w:rPr>
        <w:t>El REACH atribuye a la industria la responsabilidad de gestionar los riesgos asociados a las sustancias químicas, por lo tanto son los fabricantes, importadores y usuarios intermedios quienes deben garantizar que sólo fabrican, comercializan o usan sustancias que no afectan negativamente a la salud humana o el medio ambiente. Adicional a lo anterior, con la implementación del REACH se incrementará la información existente sobre las sustancias químicas y sus riesgos asociados, entregando información relevante a usuarios y consumidores.</w:t>
      </w:r>
    </w:p>
    <w:p w:rsidR="004C65D0" w:rsidRPr="004C65D0" w:rsidRDefault="004C65D0" w:rsidP="002F3DB8">
      <w:pPr>
        <w:jc w:val="both"/>
        <w:rPr>
          <w:sz w:val="22"/>
          <w:szCs w:val="22"/>
        </w:rPr>
      </w:pPr>
      <w:r w:rsidRPr="004C65D0">
        <w:rPr>
          <w:sz w:val="22"/>
          <w:szCs w:val="22"/>
        </w:rPr>
        <w:t xml:space="preserve">De la mano del REACH se encuentra el CLP, o Reglamento CLP, este </w:t>
      </w:r>
      <w:hyperlink r:id="rId16" w:tooltip="Término es en el glosario" w:history="1">
        <w:r w:rsidRPr="004C65D0">
          <w:rPr>
            <w:sz w:val="22"/>
            <w:szCs w:val="22"/>
          </w:rPr>
          <w:t>es</w:t>
        </w:r>
      </w:hyperlink>
      <w:r w:rsidRPr="004C65D0">
        <w:rPr>
          <w:sz w:val="22"/>
          <w:szCs w:val="22"/>
        </w:rPr>
        <w:t xml:space="preserve"> el nuevo reglamento europeo sobre </w:t>
      </w:r>
      <w:hyperlink r:id="rId17" w:tooltip="Término clasificación en el glosario" w:history="1">
        <w:r w:rsidRPr="004C65D0">
          <w:rPr>
            <w:sz w:val="22"/>
            <w:szCs w:val="22"/>
          </w:rPr>
          <w:t>clasificación</w:t>
        </w:r>
      </w:hyperlink>
      <w:r w:rsidRPr="004C65D0">
        <w:rPr>
          <w:sz w:val="22"/>
          <w:szCs w:val="22"/>
        </w:rPr>
        <w:t>, etiquetado y envasado de sustancias y mezclas químicas, introduciendo un nuevo sistema para identificar productos químicos basado en el GHS.</w:t>
      </w:r>
    </w:p>
    <w:p w:rsidR="004C65D0" w:rsidRPr="004C65D0" w:rsidRDefault="004C65D0" w:rsidP="002F3DB8">
      <w:pPr>
        <w:jc w:val="both"/>
        <w:rPr>
          <w:sz w:val="22"/>
          <w:szCs w:val="22"/>
        </w:rPr>
      </w:pPr>
      <w:r w:rsidRPr="004C65D0">
        <w:rPr>
          <w:sz w:val="22"/>
          <w:szCs w:val="22"/>
        </w:rPr>
        <w:t>El CLP trata sobre los peligros de las sustancias y mezclas químicas y de cómo informar a otras personas sobre los mismos. Es así que la industria deberá establecer los peligros de las sustancias y mezclas antes de su </w:t>
      </w:r>
      <w:hyperlink r:id="rId18" w:tooltip="Término comercialización en el glosario" w:history="1">
        <w:r w:rsidRPr="004C65D0">
          <w:rPr>
            <w:sz w:val="22"/>
            <w:szCs w:val="22"/>
          </w:rPr>
          <w:t>comercialización</w:t>
        </w:r>
      </w:hyperlink>
      <w:r w:rsidRPr="004C65D0">
        <w:rPr>
          <w:sz w:val="22"/>
          <w:szCs w:val="22"/>
        </w:rPr>
        <w:t> y clasificarlas de acuerdo con los peligros identificados, de modo que cuando una </w:t>
      </w:r>
      <w:hyperlink r:id="rId19" w:tooltip="Término sustancia en el glosario" w:history="1">
        <w:r w:rsidRPr="004C65D0">
          <w:rPr>
            <w:sz w:val="22"/>
            <w:szCs w:val="22"/>
          </w:rPr>
          <w:t>sustancia</w:t>
        </w:r>
      </w:hyperlink>
      <w:r w:rsidRPr="004C65D0">
        <w:rPr>
          <w:sz w:val="22"/>
          <w:szCs w:val="22"/>
        </w:rPr>
        <w:t> o mezcla </w:t>
      </w:r>
      <w:hyperlink r:id="rId20" w:tooltip="Término sea en el glosario" w:history="1">
        <w:r w:rsidRPr="004C65D0">
          <w:rPr>
            <w:sz w:val="22"/>
            <w:szCs w:val="22"/>
          </w:rPr>
          <w:t>sea</w:t>
        </w:r>
      </w:hyperlink>
      <w:r w:rsidRPr="004C65D0">
        <w:rPr>
          <w:sz w:val="22"/>
          <w:szCs w:val="22"/>
        </w:rPr>
        <w:t> peligrosa, deberá ser etiquetada de manera que los trabajadores y los consumidores conozcan sus efectos antes de manejarla</w:t>
      </w:r>
      <w:r w:rsidR="005B5E00">
        <w:rPr>
          <w:sz w:val="22"/>
          <w:szCs w:val="22"/>
        </w:rPr>
        <w:t>.</w:t>
      </w:r>
    </w:p>
    <w:p w:rsidR="004C65D0" w:rsidRPr="004C65D0" w:rsidRDefault="004C65D0" w:rsidP="002F3DB8">
      <w:pPr>
        <w:pStyle w:val="Heading3"/>
        <w:spacing w:line="264" w:lineRule="auto"/>
        <w:ind w:left="709"/>
      </w:pPr>
      <w:bookmarkStart w:id="33" w:name="_Toc388552068"/>
      <w:bookmarkStart w:id="34" w:name="_Toc418168861"/>
      <w:r w:rsidRPr="004C65D0">
        <w:t>O</w:t>
      </w:r>
      <w:bookmarkEnd w:id="33"/>
      <w:r w:rsidR="005403A2">
        <w:t>CDE</w:t>
      </w:r>
      <w:bookmarkEnd w:id="34"/>
    </w:p>
    <w:p w:rsidR="004C65D0" w:rsidRPr="004C65D0" w:rsidRDefault="004C65D0" w:rsidP="002F3DB8">
      <w:pPr>
        <w:jc w:val="both"/>
        <w:rPr>
          <w:sz w:val="22"/>
          <w:szCs w:val="22"/>
        </w:rPr>
      </w:pPr>
      <w:r w:rsidRPr="004C65D0">
        <w:rPr>
          <w:sz w:val="22"/>
          <w:szCs w:val="22"/>
        </w:rPr>
        <w:t xml:space="preserve">La Organización para la Cooperación </w:t>
      </w:r>
      <w:r w:rsidR="00481B5E">
        <w:rPr>
          <w:sz w:val="22"/>
          <w:szCs w:val="22"/>
        </w:rPr>
        <w:t>y el Desarrollo Económicos</w:t>
      </w:r>
      <w:r w:rsidR="005B5E00">
        <w:rPr>
          <w:sz w:val="22"/>
          <w:szCs w:val="22"/>
        </w:rPr>
        <w:t xml:space="preserve"> u</w:t>
      </w:r>
      <w:r w:rsidR="005403A2">
        <w:rPr>
          <w:sz w:val="22"/>
          <w:szCs w:val="22"/>
        </w:rPr>
        <w:t xml:space="preserve"> OCDE </w:t>
      </w:r>
      <w:r w:rsidRPr="004C65D0">
        <w:rPr>
          <w:sz w:val="22"/>
          <w:szCs w:val="22"/>
        </w:rPr>
        <w:t xml:space="preserve">agrupa a 34 países miembros y su misión es promover políticas que mejoren el bienestar económico y social de las personas alrededor del mundo. </w:t>
      </w:r>
    </w:p>
    <w:p w:rsidR="004C65D0" w:rsidRPr="004C65D0" w:rsidRDefault="004C65D0" w:rsidP="002F3DB8">
      <w:pPr>
        <w:jc w:val="both"/>
        <w:rPr>
          <w:sz w:val="22"/>
          <w:szCs w:val="22"/>
        </w:rPr>
      </w:pPr>
      <w:r w:rsidRPr="004C65D0">
        <w:rPr>
          <w:sz w:val="22"/>
          <w:szCs w:val="22"/>
        </w:rPr>
        <w:t>La OCDE, a la cual Chile ingresó formalmente el año 2010, ofrece un foro donde los gobiernos puedan trabajar conjuntamente para compartir experiencias y buscar soluciones a los problemas comunes, realizando análisis comparativo de información de modo de pronosticar tendencias, pero también fijar estándares internacionales dentro de un amplio rango de temas de políticas públicas.</w:t>
      </w:r>
    </w:p>
    <w:p w:rsidR="004C65D0" w:rsidRPr="004C65D0" w:rsidRDefault="004C65D0" w:rsidP="002F3DB8">
      <w:pPr>
        <w:jc w:val="both"/>
        <w:rPr>
          <w:sz w:val="22"/>
          <w:szCs w:val="22"/>
        </w:rPr>
      </w:pPr>
      <w:r w:rsidRPr="004C65D0">
        <w:rPr>
          <w:sz w:val="22"/>
          <w:szCs w:val="22"/>
        </w:rPr>
        <w:t xml:space="preserve">Dentro de sus áreas de trabajo destaca la relacionada con Seguridad Química y Bioseguridad, poniendo a disposición información y documentos sobre los siguientes temas: Pruebas de productos químicos, Evaluación de los productos químicos, Gestión del riesgo de los productos químicos, Prevención de accidentes químicos, preparación y respuesta, Registro de emisiones y transferencia de contaminantes, Seguridad de nanomateriales manufacturados, Plaguicidas y biocidas agrícolas y Bioseguridad. </w:t>
      </w:r>
    </w:p>
    <w:p w:rsidR="004C65D0" w:rsidRPr="004C65D0" w:rsidRDefault="004C65D0" w:rsidP="002F3DB8">
      <w:pPr>
        <w:jc w:val="both"/>
        <w:rPr>
          <w:sz w:val="22"/>
          <w:szCs w:val="22"/>
        </w:rPr>
      </w:pPr>
      <w:r w:rsidRPr="004C65D0">
        <w:rPr>
          <w:sz w:val="22"/>
          <w:szCs w:val="22"/>
        </w:rPr>
        <w:t xml:space="preserve">En el caso específico de Gestión del riesgo de los químicos, la OCDE tiene entre sus puntos focales el armonizar la clasificación internacional de productos químicos peligrosos. Esta clasificación divide las sustancias y mezclas químicas en diferentes categorías, en función de sus propiedades físicas y riesgos para la salud y el medio ambiente. Los productos químicos son entonces etiquetados de acuerdo a los requisitos de la categoría. </w:t>
      </w:r>
    </w:p>
    <w:p w:rsidR="004C65D0" w:rsidRPr="004C65D0" w:rsidRDefault="004C65D0" w:rsidP="002F3DB8">
      <w:pPr>
        <w:jc w:val="both"/>
        <w:rPr>
          <w:sz w:val="22"/>
          <w:szCs w:val="22"/>
        </w:rPr>
      </w:pPr>
      <w:r w:rsidRPr="004C65D0">
        <w:rPr>
          <w:sz w:val="22"/>
          <w:szCs w:val="22"/>
        </w:rPr>
        <w:t>Entre las acciones que realiza la OCDE respecto a las sustancias químicas se encuentra el desarrollar o revisar las propuestas de criterios de clasificación, a petición del Subcomité de Expertos del GHS de la ONU, facilita</w:t>
      </w:r>
      <w:r w:rsidR="00457970">
        <w:rPr>
          <w:sz w:val="22"/>
          <w:szCs w:val="22"/>
        </w:rPr>
        <w:t>r</w:t>
      </w:r>
      <w:r w:rsidRPr="004C65D0">
        <w:rPr>
          <w:sz w:val="22"/>
          <w:szCs w:val="22"/>
        </w:rPr>
        <w:t xml:space="preserve"> la aplicación de la clasificación a través de sus trabajos sobre la evaluación de los productos químicos y proporciona</w:t>
      </w:r>
      <w:r w:rsidR="00457970">
        <w:rPr>
          <w:sz w:val="22"/>
          <w:szCs w:val="22"/>
        </w:rPr>
        <w:t>r</w:t>
      </w:r>
      <w:r w:rsidRPr="004C65D0">
        <w:rPr>
          <w:sz w:val="22"/>
          <w:szCs w:val="22"/>
        </w:rPr>
        <w:t xml:space="preserve"> información a través del enlace a un </w:t>
      </w:r>
      <w:r w:rsidR="00FA5E30">
        <w:rPr>
          <w:sz w:val="22"/>
          <w:szCs w:val="22"/>
        </w:rPr>
        <w:t>“</w:t>
      </w:r>
      <w:r w:rsidRPr="00FA5E30">
        <w:rPr>
          <w:i/>
          <w:sz w:val="22"/>
          <w:szCs w:val="22"/>
        </w:rPr>
        <w:t>portal Web (eChemPortal)</w:t>
      </w:r>
      <w:r w:rsidR="00FA5E30">
        <w:rPr>
          <w:i/>
          <w:sz w:val="22"/>
          <w:szCs w:val="22"/>
        </w:rPr>
        <w:t>”</w:t>
      </w:r>
      <w:r w:rsidR="005B5E00">
        <w:rPr>
          <w:rStyle w:val="FootnoteReference"/>
          <w:i/>
          <w:sz w:val="22"/>
          <w:szCs w:val="22"/>
        </w:rPr>
        <w:footnoteReference w:id="3"/>
      </w:r>
      <w:r w:rsidRPr="004C65D0">
        <w:rPr>
          <w:sz w:val="22"/>
          <w:szCs w:val="22"/>
        </w:rPr>
        <w:t xml:space="preserve"> creado por la OCDE para acceder a bases de datos nacionales/regionales, donde las clasificaciones están disponibles para los productos químicos individuales.</w:t>
      </w:r>
    </w:p>
    <w:p w:rsidR="004C65D0" w:rsidRPr="004C65D0" w:rsidRDefault="004C65D0" w:rsidP="002F3DB8">
      <w:pPr>
        <w:jc w:val="both"/>
        <w:rPr>
          <w:sz w:val="22"/>
          <w:szCs w:val="22"/>
        </w:rPr>
      </w:pPr>
      <w:r w:rsidRPr="004C65D0">
        <w:rPr>
          <w:sz w:val="22"/>
          <w:szCs w:val="22"/>
        </w:rPr>
        <w:t>Es así que varios países miembros de la OCDE y otras organizaciones han compartido públicamente sus clasificaciones del GHS a través de internet (datos 2011):</w:t>
      </w:r>
    </w:p>
    <w:p w:rsidR="004C65D0" w:rsidRPr="004C65D0" w:rsidRDefault="004C65D0" w:rsidP="00D4302C">
      <w:pPr>
        <w:pStyle w:val="ListParagraph"/>
        <w:numPr>
          <w:ilvl w:val="0"/>
          <w:numId w:val="31"/>
        </w:numPr>
        <w:ind w:right="368"/>
        <w:contextualSpacing w:val="0"/>
        <w:jc w:val="both"/>
        <w:rPr>
          <w:sz w:val="22"/>
          <w:szCs w:val="22"/>
        </w:rPr>
      </w:pPr>
      <w:r w:rsidRPr="004C65D0">
        <w:rPr>
          <w:sz w:val="22"/>
          <w:szCs w:val="22"/>
        </w:rPr>
        <w:t>Países: Australia, Canadá, Unión Europea, Japón, Corea, Nueva Zelandia, Noruega, Estados Unidos.</w:t>
      </w:r>
    </w:p>
    <w:p w:rsidR="004C65D0" w:rsidRDefault="004C65D0" w:rsidP="00D4302C">
      <w:pPr>
        <w:pStyle w:val="ListParagraph"/>
        <w:numPr>
          <w:ilvl w:val="0"/>
          <w:numId w:val="31"/>
        </w:numPr>
        <w:ind w:right="368"/>
        <w:contextualSpacing w:val="0"/>
        <w:jc w:val="both"/>
        <w:rPr>
          <w:sz w:val="22"/>
          <w:szCs w:val="22"/>
        </w:rPr>
      </w:pPr>
      <w:r w:rsidRPr="004C65D0">
        <w:rPr>
          <w:sz w:val="22"/>
          <w:szCs w:val="22"/>
        </w:rPr>
        <w:t>Organizaciones: Organización Marítima Internacional, Programa Internacional de Seguridad Química, ONU.</w:t>
      </w:r>
    </w:p>
    <w:p w:rsidR="00C503B7" w:rsidRDefault="00C503B7" w:rsidP="002F3DB8">
      <w:pPr>
        <w:jc w:val="both"/>
        <w:rPr>
          <w:sz w:val="22"/>
          <w:szCs w:val="22"/>
        </w:rPr>
      </w:pPr>
      <w:r>
        <w:rPr>
          <w:sz w:val="22"/>
          <w:szCs w:val="22"/>
        </w:rPr>
        <w:t xml:space="preserve">Por otra parte, existen recursos para la identificación y clasificación de peligros, en particular, las </w:t>
      </w:r>
      <w:r w:rsidR="00FA5E30">
        <w:rPr>
          <w:sz w:val="22"/>
          <w:szCs w:val="22"/>
        </w:rPr>
        <w:t>“</w:t>
      </w:r>
      <w:r w:rsidRPr="00FA5E30">
        <w:rPr>
          <w:i/>
          <w:sz w:val="22"/>
          <w:szCs w:val="22"/>
        </w:rPr>
        <w:t>Directrices para ensayos de sustancias químicas</w:t>
      </w:r>
      <w:r w:rsidR="00FA5E30">
        <w:rPr>
          <w:i/>
          <w:sz w:val="22"/>
          <w:szCs w:val="22"/>
        </w:rPr>
        <w:t>”</w:t>
      </w:r>
      <w:r w:rsidR="005B5E00">
        <w:rPr>
          <w:rStyle w:val="FootnoteReference"/>
          <w:i/>
          <w:sz w:val="22"/>
          <w:szCs w:val="22"/>
        </w:rPr>
        <w:footnoteReference w:id="4"/>
      </w:r>
      <w:r w:rsidR="005B5E00">
        <w:rPr>
          <w:sz w:val="22"/>
          <w:szCs w:val="22"/>
        </w:rPr>
        <w:t xml:space="preserve"> </w:t>
      </w:r>
      <w:r>
        <w:rPr>
          <w:sz w:val="22"/>
          <w:szCs w:val="22"/>
        </w:rPr>
        <w:t>que son un conjunto de métodos de ensayos aceptados internacionalmente cuya utilización ofrece resultados que a menudo sirven de base para clasificar los peligros para la salud humana y el medio ambiente.</w:t>
      </w:r>
    </w:p>
    <w:p w:rsidR="005403A2" w:rsidRDefault="005403A2" w:rsidP="002F3DB8">
      <w:pPr>
        <w:jc w:val="both"/>
        <w:rPr>
          <w:sz w:val="22"/>
          <w:szCs w:val="22"/>
        </w:rPr>
      </w:pPr>
      <w:r>
        <w:rPr>
          <w:sz w:val="22"/>
          <w:szCs w:val="22"/>
        </w:rPr>
        <w:t xml:space="preserve">Finalmente, </w:t>
      </w:r>
      <w:r w:rsidR="00FA5E30">
        <w:rPr>
          <w:sz w:val="22"/>
          <w:szCs w:val="22"/>
        </w:rPr>
        <w:t>está disponible el “</w:t>
      </w:r>
      <w:r w:rsidR="00FA5E30" w:rsidRPr="00FA5E30">
        <w:rPr>
          <w:i/>
          <w:sz w:val="22"/>
          <w:szCs w:val="22"/>
        </w:rPr>
        <w:t>Reporte sobre preparación de implementación de GHS</w:t>
      </w:r>
      <w:r w:rsidR="00FA5E30">
        <w:rPr>
          <w:i/>
          <w:sz w:val="22"/>
          <w:szCs w:val="22"/>
        </w:rPr>
        <w:t>”</w:t>
      </w:r>
      <w:r w:rsidR="000A29B0">
        <w:rPr>
          <w:rStyle w:val="FootnoteReference"/>
          <w:i/>
          <w:sz w:val="22"/>
          <w:szCs w:val="22"/>
        </w:rPr>
        <w:footnoteReference w:id="5"/>
      </w:r>
      <w:r w:rsidR="00FA5E30">
        <w:rPr>
          <w:sz w:val="22"/>
          <w:szCs w:val="22"/>
        </w:rPr>
        <w:t>, donde los países pertenecientes</w:t>
      </w:r>
      <w:r w:rsidR="00457970">
        <w:rPr>
          <w:sz w:val="22"/>
          <w:szCs w:val="22"/>
        </w:rPr>
        <w:t xml:space="preserve"> a la OCDE</w:t>
      </w:r>
      <w:r w:rsidR="00FA5E30">
        <w:rPr>
          <w:sz w:val="22"/>
          <w:szCs w:val="22"/>
        </w:rPr>
        <w:t>, a través de un cuestionario, entregan información sobre las actividades realizadas y su plan de trabajo para la implementación del GHS.</w:t>
      </w:r>
    </w:p>
    <w:p w:rsidR="004C65D0" w:rsidRPr="004C65D0" w:rsidRDefault="0087504C" w:rsidP="002F3DB8">
      <w:pPr>
        <w:pStyle w:val="Heading3"/>
        <w:spacing w:line="264" w:lineRule="auto"/>
        <w:ind w:left="709"/>
      </w:pPr>
      <w:bookmarkStart w:id="35" w:name="_Toc418168862"/>
      <w:r>
        <w:t>APEC</w:t>
      </w:r>
      <w:bookmarkEnd w:id="35"/>
    </w:p>
    <w:p w:rsidR="004C65D0" w:rsidRPr="004C65D0" w:rsidRDefault="004C65D0" w:rsidP="002F3DB8">
      <w:pPr>
        <w:jc w:val="both"/>
        <w:rPr>
          <w:sz w:val="22"/>
          <w:szCs w:val="22"/>
        </w:rPr>
      </w:pPr>
      <w:r w:rsidRPr="004C65D0">
        <w:rPr>
          <w:sz w:val="22"/>
          <w:szCs w:val="22"/>
        </w:rPr>
        <w:t xml:space="preserve">El Foro de Cooperación Económica Asia-Pacífico o APEC (Asia-Pacific Economic Cooperation) tiene por objetivo consolidar el crecimiento y prosperidad de sus 21 países miembros a través de temas relacionados con el intercambio comercial, coordinación económica y cooperación entre sus integrantes. En este ambiente y considerando la importancia de la industria química dentro de la economía de estos países, la APEC ofrece el </w:t>
      </w:r>
      <w:r w:rsidRPr="000A29B0">
        <w:rPr>
          <w:sz w:val="22"/>
          <w:szCs w:val="22"/>
        </w:rPr>
        <w:t>programa The Chemical Dialogue (CD)</w:t>
      </w:r>
      <w:r w:rsidRPr="004C65D0">
        <w:rPr>
          <w:sz w:val="22"/>
          <w:szCs w:val="22"/>
        </w:rPr>
        <w:t xml:space="preserve"> que sirve como un foro </w:t>
      </w:r>
      <w:r w:rsidR="00457970">
        <w:rPr>
          <w:sz w:val="22"/>
          <w:szCs w:val="22"/>
        </w:rPr>
        <w:t>par</w:t>
      </w:r>
      <w:r w:rsidRPr="004C65D0">
        <w:rPr>
          <w:sz w:val="22"/>
          <w:szCs w:val="22"/>
        </w:rPr>
        <w:t xml:space="preserve">a los estamentos reguladores y representantes de la industria </w:t>
      </w:r>
      <w:r w:rsidR="00457970">
        <w:rPr>
          <w:sz w:val="22"/>
          <w:szCs w:val="22"/>
        </w:rPr>
        <w:t>con el fin de</w:t>
      </w:r>
      <w:r w:rsidRPr="004C65D0">
        <w:rPr>
          <w:sz w:val="22"/>
          <w:szCs w:val="22"/>
        </w:rPr>
        <w:t xml:space="preserve"> encontrar soluciones a los desafíos que enfrenta la industria química en la región Asia-Pacífico. En particular, dentro de las actividades del programa CD se incluye la página web </w:t>
      </w:r>
      <w:r w:rsidR="00FA5E30">
        <w:rPr>
          <w:sz w:val="22"/>
          <w:szCs w:val="22"/>
        </w:rPr>
        <w:t>“</w:t>
      </w:r>
      <w:r w:rsidRPr="00FA5E30">
        <w:rPr>
          <w:i/>
          <w:sz w:val="22"/>
          <w:szCs w:val="22"/>
        </w:rPr>
        <w:t>GHS Reference Exchange and Tool (G.R.E.A.T.)</w:t>
      </w:r>
      <w:r w:rsidR="000A29B0">
        <w:rPr>
          <w:i/>
          <w:sz w:val="22"/>
          <w:szCs w:val="22"/>
        </w:rPr>
        <w:t>”</w:t>
      </w:r>
      <w:r w:rsidR="000A29B0">
        <w:rPr>
          <w:rStyle w:val="FootnoteReference"/>
          <w:i/>
          <w:sz w:val="22"/>
          <w:szCs w:val="22"/>
        </w:rPr>
        <w:footnoteReference w:id="6"/>
      </w:r>
      <w:r w:rsidRPr="00FA5E30">
        <w:rPr>
          <w:i/>
          <w:sz w:val="22"/>
          <w:szCs w:val="22"/>
        </w:rPr>
        <w:t>,</w:t>
      </w:r>
      <w:r w:rsidRPr="004C65D0">
        <w:rPr>
          <w:sz w:val="22"/>
          <w:szCs w:val="22"/>
        </w:rPr>
        <w:t xml:space="preserve"> centro de información que recopila y ofrece información sobre el GHS mediante la colaboración de los encargados responsables de la implementación del GHS en las economías miembros del APEC, principalmente, sobre elementos de etiquetados estandarizados del GHS en distintos lenguajes y reportes sobre el status de implementación del sistema en sus respectivos países.</w:t>
      </w:r>
    </w:p>
    <w:p w:rsidR="004C65D0" w:rsidRPr="004C65D0" w:rsidRDefault="004C65D0" w:rsidP="002F3DB8">
      <w:pPr>
        <w:jc w:val="both"/>
        <w:rPr>
          <w:sz w:val="22"/>
          <w:szCs w:val="22"/>
        </w:rPr>
      </w:pPr>
      <w:r w:rsidRPr="004C65D0">
        <w:rPr>
          <w:sz w:val="22"/>
          <w:szCs w:val="22"/>
        </w:rPr>
        <w:t>Entre los documentos publicados se encuentran:</w:t>
      </w:r>
    </w:p>
    <w:p w:rsidR="004C65D0" w:rsidRPr="004C65D0" w:rsidRDefault="004C65D0" w:rsidP="00D4302C">
      <w:pPr>
        <w:pStyle w:val="ListParagraph"/>
        <w:numPr>
          <w:ilvl w:val="0"/>
          <w:numId w:val="32"/>
        </w:numPr>
        <w:ind w:right="368"/>
        <w:contextualSpacing w:val="0"/>
        <w:jc w:val="both"/>
        <w:rPr>
          <w:sz w:val="22"/>
          <w:szCs w:val="22"/>
        </w:rPr>
      </w:pPr>
      <w:r w:rsidRPr="004C65D0">
        <w:rPr>
          <w:sz w:val="22"/>
          <w:szCs w:val="22"/>
        </w:rPr>
        <w:t>Productos de Consumo-Casos de estudio sobre implementación de GHS (2012): Entrega información relevante sobre GHS en el sector consumo en países como Australia, Japón, Nueva Zelandia.</w:t>
      </w:r>
    </w:p>
    <w:p w:rsidR="004C65D0" w:rsidRDefault="004C65D0" w:rsidP="00D4302C">
      <w:pPr>
        <w:pStyle w:val="ListParagraph"/>
        <w:numPr>
          <w:ilvl w:val="0"/>
          <w:numId w:val="32"/>
        </w:numPr>
        <w:ind w:right="368"/>
        <w:contextualSpacing w:val="0"/>
        <w:jc w:val="both"/>
        <w:rPr>
          <w:sz w:val="22"/>
          <w:szCs w:val="22"/>
        </w:rPr>
      </w:pPr>
      <w:r w:rsidRPr="004C65D0">
        <w:rPr>
          <w:sz w:val="22"/>
          <w:szCs w:val="22"/>
        </w:rPr>
        <w:t xml:space="preserve">Actualización </w:t>
      </w:r>
      <w:r w:rsidR="00F96FB4" w:rsidRPr="00F96FB4">
        <w:rPr>
          <w:i/>
          <w:sz w:val="22"/>
          <w:szCs w:val="22"/>
        </w:rPr>
        <w:t>“</w:t>
      </w:r>
      <w:r w:rsidRPr="00F96FB4">
        <w:rPr>
          <w:i/>
          <w:sz w:val="22"/>
          <w:szCs w:val="22"/>
        </w:rPr>
        <w:t>Progreso de la Implementación del GHS en Economías del APEC (2012)</w:t>
      </w:r>
      <w:r w:rsidR="00F96FB4" w:rsidRPr="00F96FB4">
        <w:rPr>
          <w:i/>
          <w:sz w:val="22"/>
          <w:szCs w:val="22"/>
        </w:rPr>
        <w:t>”</w:t>
      </w:r>
      <w:r w:rsidR="000A29B0">
        <w:rPr>
          <w:rStyle w:val="FootnoteReference"/>
          <w:i/>
          <w:sz w:val="22"/>
          <w:szCs w:val="22"/>
        </w:rPr>
        <w:footnoteReference w:id="7"/>
      </w:r>
      <w:r w:rsidRPr="00F96FB4">
        <w:rPr>
          <w:i/>
          <w:sz w:val="22"/>
          <w:szCs w:val="22"/>
        </w:rPr>
        <w:t>:</w:t>
      </w:r>
      <w:r w:rsidRPr="004C65D0">
        <w:rPr>
          <w:sz w:val="22"/>
          <w:szCs w:val="22"/>
        </w:rPr>
        <w:t xml:space="preserve"> Mediante una planilla de reporte, los países pertenecientes al APEC informan los avances en la implementación del GHS en los 4 sectores (industria, agricultura, transporte y productos de consumo).</w:t>
      </w:r>
    </w:p>
    <w:p w:rsidR="00527081" w:rsidRDefault="00527081" w:rsidP="00527081">
      <w:pPr>
        <w:pStyle w:val="ListParagraph"/>
        <w:ind w:right="368"/>
        <w:contextualSpacing w:val="0"/>
        <w:jc w:val="both"/>
        <w:rPr>
          <w:sz w:val="22"/>
          <w:szCs w:val="22"/>
        </w:rPr>
      </w:pPr>
    </w:p>
    <w:p w:rsidR="0087504C" w:rsidRDefault="0087504C" w:rsidP="00606EAC">
      <w:pPr>
        <w:pStyle w:val="Heading2"/>
        <w:spacing w:before="0" w:after="180"/>
        <w:ind w:left="0" w:firstLine="0"/>
        <w:rPr>
          <w:lang w:val="es-CL"/>
        </w:rPr>
      </w:pPr>
      <w:bookmarkStart w:id="36" w:name="_Toc418168863"/>
      <w:r>
        <w:rPr>
          <w:lang w:val="es-CL"/>
        </w:rPr>
        <w:t>Información respecto a avances y acuerdos en Chile</w:t>
      </w:r>
      <w:bookmarkEnd w:id="36"/>
    </w:p>
    <w:p w:rsidR="00E54B8F" w:rsidRDefault="00E54B8F" w:rsidP="002F3DB8">
      <w:pPr>
        <w:jc w:val="both"/>
        <w:rPr>
          <w:sz w:val="22"/>
          <w:szCs w:val="22"/>
        </w:rPr>
      </w:pPr>
      <w:r w:rsidRPr="00E54B8F">
        <w:rPr>
          <w:sz w:val="22"/>
          <w:szCs w:val="22"/>
        </w:rPr>
        <w:t>Chile tomó el compromiso de adoptar el sistema GHS durante la Cumbre Mundial de Desarrollo Sostenible de Johannesburgo del año 2002, fecha a partir de la cual se han efectuado diversas actividades enfocadas en desarrollar e implementar un plan gradual para la puesta en marcha de este sistema. Adicionalmente durante este período, se han suscrito otros acuerdos internacionales que fomentan y benefician el plan de implementación del GHS en el país. En primer lugar,</w:t>
      </w:r>
      <w:r w:rsidR="00F008E6" w:rsidRPr="00F008E6">
        <w:rPr>
          <w:sz w:val="22"/>
          <w:szCs w:val="22"/>
        </w:rPr>
        <w:t xml:space="preserve"> </w:t>
      </w:r>
      <w:r w:rsidR="00F008E6" w:rsidRPr="00E54B8F">
        <w:rPr>
          <w:sz w:val="22"/>
          <w:szCs w:val="22"/>
        </w:rPr>
        <w:t>se mencion</w:t>
      </w:r>
      <w:r w:rsidR="00F008E6">
        <w:rPr>
          <w:sz w:val="22"/>
          <w:szCs w:val="22"/>
        </w:rPr>
        <w:t>an aquella</w:t>
      </w:r>
      <w:r w:rsidR="00F008E6" w:rsidRPr="00E54B8F">
        <w:rPr>
          <w:sz w:val="22"/>
          <w:szCs w:val="22"/>
        </w:rPr>
        <w:t xml:space="preserve">s </w:t>
      </w:r>
      <w:r w:rsidR="00F008E6">
        <w:rPr>
          <w:sz w:val="22"/>
          <w:szCs w:val="22"/>
        </w:rPr>
        <w:t>instancias de cooperación vigentes</w:t>
      </w:r>
      <w:r w:rsidRPr="00E54B8F">
        <w:rPr>
          <w:sz w:val="22"/>
          <w:szCs w:val="22"/>
        </w:rPr>
        <w:t xml:space="preserve"> y posteriormente </w:t>
      </w:r>
      <w:r w:rsidR="00F008E6" w:rsidRPr="00E54B8F">
        <w:rPr>
          <w:sz w:val="22"/>
          <w:szCs w:val="22"/>
        </w:rPr>
        <w:t>se deta</w:t>
      </w:r>
      <w:r w:rsidR="00F008E6">
        <w:rPr>
          <w:sz w:val="22"/>
          <w:szCs w:val="22"/>
        </w:rPr>
        <w:t>llan las actividades realizadas.</w:t>
      </w:r>
    </w:p>
    <w:p w:rsidR="00F008E6" w:rsidRPr="00E54B8F" w:rsidRDefault="00F008E6" w:rsidP="002F3DB8">
      <w:pPr>
        <w:pStyle w:val="Heading3"/>
        <w:ind w:left="709" w:right="0"/>
      </w:pPr>
      <w:bookmarkStart w:id="37" w:name="_Toc388552076"/>
      <w:bookmarkStart w:id="38" w:name="_Toc418168864"/>
      <w:r w:rsidRPr="00E54B8F">
        <w:t>SAICM</w:t>
      </w:r>
      <w:bookmarkEnd w:id="37"/>
      <w:bookmarkEnd w:id="38"/>
    </w:p>
    <w:p w:rsidR="00F008E6" w:rsidRPr="00E54B8F" w:rsidRDefault="00F008E6" w:rsidP="002F3DB8">
      <w:pPr>
        <w:jc w:val="both"/>
        <w:rPr>
          <w:sz w:val="22"/>
          <w:szCs w:val="22"/>
          <w:lang w:val="es-ES"/>
        </w:rPr>
      </w:pPr>
      <w:r w:rsidRPr="00E54B8F">
        <w:rPr>
          <w:sz w:val="22"/>
          <w:szCs w:val="22"/>
        </w:rPr>
        <w:t xml:space="preserve">El </w:t>
      </w:r>
      <w:r w:rsidRPr="00E54B8F">
        <w:rPr>
          <w:sz w:val="22"/>
          <w:szCs w:val="22"/>
          <w:lang w:val="es-ES"/>
        </w:rPr>
        <w:t xml:space="preserve">Enfoque Estratégico para la Gestión de los Productos Químicos a Nivel Internacional (SAICM) es un marco de políticas para fomentar la gestión racional de productos químicos, </w:t>
      </w:r>
      <w:r>
        <w:rPr>
          <w:sz w:val="22"/>
          <w:szCs w:val="22"/>
          <w:lang w:val="es-ES"/>
        </w:rPr>
        <w:t>adoptado</w:t>
      </w:r>
      <w:r w:rsidRPr="00E54B8F">
        <w:rPr>
          <w:sz w:val="22"/>
          <w:szCs w:val="22"/>
        </w:rPr>
        <w:t xml:space="preserve"> por la Conferencia Internacional sobre la Gestión de Productos Químicos (ICCM) el 6 de febrero de 2006 en Dubái. </w:t>
      </w:r>
      <w:r w:rsidRPr="00E54B8F">
        <w:rPr>
          <w:sz w:val="22"/>
          <w:szCs w:val="22"/>
          <w:lang w:val="es-ES"/>
        </w:rPr>
        <w:t>Su objetivo es garantizar que en el año 2020 los productos químicos se produzcan y utilicen de forma que reduzcan al mínimo los impactos adversos sobre el medio ambiente y la salud humana.</w:t>
      </w:r>
      <w:r w:rsidRPr="00E54B8F">
        <w:rPr>
          <w:sz w:val="22"/>
          <w:szCs w:val="22"/>
        </w:rPr>
        <w:t xml:space="preserve"> </w:t>
      </w:r>
    </w:p>
    <w:p w:rsidR="00F008E6" w:rsidRPr="00E54B8F" w:rsidRDefault="00F008E6" w:rsidP="002F3DB8">
      <w:pPr>
        <w:autoSpaceDE w:val="0"/>
        <w:autoSpaceDN w:val="0"/>
        <w:adjustRightInd w:val="0"/>
        <w:jc w:val="both"/>
        <w:rPr>
          <w:sz w:val="22"/>
          <w:szCs w:val="22"/>
          <w:lang w:val="es-ES"/>
        </w:rPr>
      </w:pPr>
      <w:r w:rsidRPr="00E54B8F">
        <w:rPr>
          <w:sz w:val="22"/>
          <w:szCs w:val="22"/>
          <w:lang w:val="es-ES"/>
        </w:rPr>
        <w:t>En el año 2011, el Ministerio de Salud se adjudicó un proyecto del fondo fiduciario del Programa de Inicio Rápido del SAICM para elaborar una estrategia de implementación del GHS en el país y capacitar a todos los actores involucrados en esta implementación. Esta herramienta proporciona una estructura para la aplicación rápida del Enfoque abordando las necesidades de cada parte interesada donde el GHS constituye una prioridad fundamental del plan.</w:t>
      </w:r>
    </w:p>
    <w:p w:rsidR="00F008E6" w:rsidRDefault="00F008E6" w:rsidP="002F3DB8">
      <w:pPr>
        <w:tabs>
          <w:tab w:val="left" w:pos="9923"/>
        </w:tabs>
        <w:autoSpaceDE w:val="0"/>
        <w:autoSpaceDN w:val="0"/>
        <w:adjustRightInd w:val="0"/>
        <w:jc w:val="both"/>
        <w:rPr>
          <w:sz w:val="22"/>
          <w:szCs w:val="22"/>
          <w:lang w:val="es-ES"/>
        </w:rPr>
      </w:pPr>
      <w:r w:rsidRPr="00E54B8F">
        <w:rPr>
          <w:sz w:val="22"/>
          <w:szCs w:val="22"/>
          <w:lang w:val="es-ES"/>
        </w:rPr>
        <w:t>Dentro de las actividade</w:t>
      </w:r>
      <w:r w:rsidR="00ED5B86">
        <w:rPr>
          <w:sz w:val="22"/>
          <w:szCs w:val="22"/>
          <w:lang w:val="es-ES"/>
        </w:rPr>
        <w:t xml:space="preserve">s del plan de trabajo de 2 años, </w:t>
      </w:r>
      <w:r w:rsidRPr="00E54B8F">
        <w:rPr>
          <w:sz w:val="22"/>
          <w:szCs w:val="22"/>
          <w:lang w:val="es-ES"/>
        </w:rPr>
        <w:t>existen varios avances, entre ellos, reuniones de coordinación, talleres de introducción y capacitación sobre el GHS, cursos de formación y sensibilización y el estudio “Análisis de Vacíos del GHS” que otorga un diagnóstico de la legislación nacional vigente</w:t>
      </w:r>
      <w:r>
        <w:rPr>
          <w:sz w:val="22"/>
          <w:szCs w:val="22"/>
          <w:lang w:val="es-ES"/>
        </w:rPr>
        <w:t>, detallado más adelante en el punto 3.2.3</w:t>
      </w:r>
      <w:r w:rsidRPr="00E54B8F">
        <w:rPr>
          <w:sz w:val="22"/>
          <w:szCs w:val="22"/>
          <w:lang w:val="es-ES"/>
        </w:rPr>
        <w:t>. Toda la información proporcionada por estas actividades es de vital importancia ya que define a los sectores y actores involucrados y la situación actual</w:t>
      </w:r>
      <w:r w:rsidR="00ED5B86">
        <w:rPr>
          <w:sz w:val="22"/>
          <w:szCs w:val="22"/>
          <w:lang w:val="es-ES"/>
        </w:rPr>
        <w:t xml:space="preserve"> del país</w:t>
      </w:r>
      <w:r w:rsidRPr="00E54B8F">
        <w:rPr>
          <w:sz w:val="22"/>
          <w:szCs w:val="22"/>
          <w:lang w:val="es-ES"/>
        </w:rPr>
        <w:t xml:space="preserve"> para establecer la Estrategia Nacional de Implementación del GHS.</w:t>
      </w:r>
    </w:p>
    <w:p w:rsidR="00F008E6" w:rsidRPr="00E54B8F" w:rsidRDefault="00F008E6" w:rsidP="002F3DB8">
      <w:pPr>
        <w:pStyle w:val="Heading3"/>
        <w:ind w:left="709"/>
      </w:pPr>
      <w:bookmarkStart w:id="39" w:name="_Toc388552077"/>
      <w:bookmarkStart w:id="40" w:name="_Toc418168865"/>
      <w:r w:rsidRPr="00E54B8F">
        <w:t>Mercosur/BID</w:t>
      </w:r>
      <w:bookmarkEnd w:id="39"/>
      <w:bookmarkEnd w:id="40"/>
    </w:p>
    <w:p w:rsidR="00F008E6" w:rsidRPr="00E54B8F" w:rsidRDefault="00F008E6" w:rsidP="002F3DB8">
      <w:pPr>
        <w:jc w:val="both"/>
        <w:rPr>
          <w:sz w:val="22"/>
          <w:szCs w:val="22"/>
          <w:lang w:val="es-ES"/>
        </w:rPr>
      </w:pPr>
      <w:r w:rsidRPr="00E54B8F">
        <w:rPr>
          <w:sz w:val="22"/>
          <w:szCs w:val="22"/>
        </w:rPr>
        <w:t>Bajo el concepto de apoyar y asesorar la implementación del GHS, se desarrolló un proyecto regional el año 2009 a nivel de Mercosur incluyendo a Chile y con financiamiento del Banco Interamericano de Desarrollo (BID) denominado “Estrategia Regional para el Manejo y el Comercio de Productos Químicos” cuyo objetivo era desarrollar y adoptar una estrategia regional para la implementación del GHS, dar cumplimiento a los requisitos del REACH</w:t>
      </w:r>
      <w:r w:rsidRPr="00E54B8F">
        <w:rPr>
          <w:rStyle w:val="FootnoteReference"/>
          <w:sz w:val="22"/>
          <w:szCs w:val="22"/>
        </w:rPr>
        <w:footnoteReference w:id="8"/>
      </w:r>
      <w:r w:rsidRPr="00E54B8F">
        <w:rPr>
          <w:sz w:val="22"/>
          <w:szCs w:val="22"/>
        </w:rPr>
        <w:t xml:space="preserve"> </w:t>
      </w:r>
      <w:r w:rsidRPr="00E54B8F">
        <w:rPr>
          <w:sz w:val="22"/>
          <w:szCs w:val="22"/>
          <w:lang w:val="es-ES_tradnl"/>
        </w:rPr>
        <w:t>y un marco para aumentar la capacidad regional de los laboratorios que clasifican las sustancias químicas.</w:t>
      </w:r>
    </w:p>
    <w:p w:rsidR="00F008E6" w:rsidRPr="00E54B8F" w:rsidRDefault="00F008E6" w:rsidP="002F3DB8">
      <w:pPr>
        <w:jc w:val="both"/>
        <w:rPr>
          <w:sz w:val="22"/>
          <w:szCs w:val="22"/>
          <w:highlight w:val="yellow"/>
        </w:rPr>
      </w:pPr>
      <w:r w:rsidRPr="00E54B8F">
        <w:rPr>
          <w:sz w:val="22"/>
          <w:szCs w:val="22"/>
          <w:lang w:val="es-ES"/>
        </w:rPr>
        <w:t>La primera parte del proyecto consiste en la introducción de una estrategia regional p</w:t>
      </w:r>
      <w:r w:rsidR="00511073">
        <w:rPr>
          <w:sz w:val="22"/>
          <w:szCs w:val="22"/>
          <w:lang w:val="es-ES"/>
        </w:rPr>
        <w:t>ara la implementación del GHS,</w:t>
      </w:r>
      <w:r w:rsidRPr="00E54B8F">
        <w:rPr>
          <w:sz w:val="22"/>
          <w:szCs w:val="22"/>
          <w:lang w:val="es-ES"/>
        </w:rPr>
        <w:t xml:space="preserve"> que incluye un inventario del estatus de implementación del GHS en cada uno de los países y de la legislación y normas vinculadas a su implementación. </w:t>
      </w:r>
      <w:r w:rsidRPr="00E54B8F">
        <w:rPr>
          <w:sz w:val="22"/>
          <w:szCs w:val="22"/>
        </w:rPr>
        <w:t xml:space="preserve"> </w:t>
      </w:r>
      <w:r w:rsidRPr="00E54B8F">
        <w:rPr>
          <w:sz w:val="22"/>
          <w:szCs w:val="22"/>
          <w:lang w:val="es-ES_tradnl"/>
        </w:rPr>
        <w:t xml:space="preserve">A partir de este análisis, los países identificarán y priorizarán los temas en cada uno de los tres ámbitos del GHS (peligro físico, medioambiental y para la salud), en los cuales desean coordinar y sincronizar su implementación. </w:t>
      </w:r>
    </w:p>
    <w:p w:rsidR="00F008E6" w:rsidRPr="00E54B8F" w:rsidRDefault="00F008E6" w:rsidP="002F3DB8">
      <w:pPr>
        <w:jc w:val="both"/>
        <w:rPr>
          <w:sz w:val="22"/>
          <w:szCs w:val="22"/>
          <w:lang w:val="es-ES_tradnl"/>
        </w:rPr>
      </w:pPr>
      <w:r w:rsidRPr="00E54B8F">
        <w:rPr>
          <w:sz w:val="22"/>
          <w:szCs w:val="22"/>
          <w:lang w:val="es-ES_tradnl"/>
        </w:rPr>
        <w:t>El segundo componente se basa en la definición de una estrategia común frente a la regulación de la Comunidad Europea para disminuir los costos de cumplimiento de estos requisitos y facilitar el acceso al mercado europeo.</w:t>
      </w:r>
    </w:p>
    <w:p w:rsidR="00F008E6" w:rsidRDefault="00F008E6" w:rsidP="002F3DB8">
      <w:pPr>
        <w:jc w:val="both"/>
        <w:rPr>
          <w:sz w:val="22"/>
          <w:szCs w:val="22"/>
          <w:lang w:val="es-ES_tradnl"/>
        </w:rPr>
      </w:pPr>
      <w:r w:rsidRPr="00E54B8F">
        <w:rPr>
          <w:sz w:val="22"/>
          <w:szCs w:val="22"/>
          <w:lang w:val="es-ES_tradnl"/>
        </w:rPr>
        <w:t>Por último, se busca fortalecer a los laboratorios mejorando sus capacidades para una rápida y correcta clasificación de los productos en cumplimiento con el GHS a través de la capacitación del personal y mecanismos de transferencia de información.</w:t>
      </w:r>
    </w:p>
    <w:p w:rsidR="006D0FB7" w:rsidRDefault="006D0FB7" w:rsidP="002F3DB8">
      <w:pPr>
        <w:jc w:val="both"/>
        <w:rPr>
          <w:sz w:val="22"/>
          <w:szCs w:val="22"/>
          <w:lang w:val="es-ES_tradnl"/>
        </w:rPr>
      </w:pPr>
    </w:p>
    <w:p w:rsidR="00E54B8F" w:rsidRDefault="00E54B8F" w:rsidP="002F3DB8">
      <w:pPr>
        <w:pStyle w:val="Heading3"/>
        <w:ind w:left="709"/>
      </w:pPr>
      <w:bookmarkStart w:id="41" w:name="_Toc388552070"/>
      <w:bookmarkStart w:id="42" w:name="_Toc418168866"/>
      <w:r w:rsidRPr="00BE6EEE">
        <w:t>Cronología de actividades</w:t>
      </w:r>
      <w:bookmarkEnd w:id="41"/>
      <w:bookmarkEnd w:id="42"/>
      <w:r w:rsidRPr="00BE6EEE">
        <w:t xml:space="preserve"> </w:t>
      </w:r>
    </w:p>
    <w:p w:rsidR="00E54B8F" w:rsidRDefault="00E54B8F" w:rsidP="00606EAC">
      <w:pPr>
        <w:jc w:val="both"/>
        <w:rPr>
          <w:sz w:val="22"/>
          <w:szCs w:val="22"/>
        </w:rPr>
      </w:pPr>
      <w:r w:rsidRPr="00E54B8F">
        <w:rPr>
          <w:sz w:val="22"/>
          <w:szCs w:val="22"/>
        </w:rPr>
        <w:t>A continuación se presenta un resumen de las actividades realizadas por Chile para cumplir con sus compromisos relativos a la implementación del GHS</w:t>
      </w:r>
      <w:r w:rsidR="006E1497">
        <w:rPr>
          <w:sz w:val="22"/>
          <w:szCs w:val="22"/>
        </w:rPr>
        <w:t>,</w:t>
      </w:r>
      <w:r w:rsidRPr="00E54B8F">
        <w:rPr>
          <w:sz w:val="22"/>
          <w:szCs w:val="22"/>
        </w:rPr>
        <w:t xml:space="preserve"> desde el año 2004 a la fecha.</w:t>
      </w:r>
    </w:p>
    <w:p w:rsidR="006E1497" w:rsidRPr="006E1497" w:rsidRDefault="006E1497" w:rsidP="00606EAC">
      <w:pPr>
        <w:autoSpaceDE w:val="0"/>
        <w:autoSpaceDN w:val="0"/>
        <w:adjustRightInd w:val="0"/>
        <w:jc w:val="both"/>
        <w:rPr>
          <w:sz w:val="22"/>
          <w:szCs w:val="22"/>
          <w:lang w:val="es-CL"/>
        </w:rPr>
      </w:pPr>
      <w:r w:rsidRPr="006E1497">
        <w:rPr>
          <w:sz w:val="22"/>
          <w:szCs w:val="22"/>
          <w:lang w:val="es-CL"/>
        </w:rPr>
        <w:t>En primer lugar, se estableció que el Ministerio de Salud sería el organismo encargado y responsable de la implementación del GHS en el país. Las primeras actividades desarrolladas y coordinadas por el MINSAL corresponden a:</w:t>
      </w:r>
    </w:p>
    <w:p w:rsidR="006E1497" w:rsidRPr="002F3DB8" w:rsidRDefault="006E1497" w:rsidP="00D4302C">
      <w:pPr>
        <w:pStyle w:val="ListParagraph"/>
        <w:numPr>
          <w:ilvl w:val="0"/>
          <w:numId w:val="34"/>
        </w:numPr>
        <w:autoSpaceDE w:val="0"/>
        <w:autoSpaceDN w:val="0"/>
        <w:adjustRightInd w:val="0"/>
        <w:jc w:val="both"/>
        <w:rPr>
          <w:sz w:val="22"/>
          <w:szCs w:val="22"/>
          <w:lang w:val="es-CL"/>
        </w:rPr>
      </w:pPr>
      <w:r w:rsidRPr="002F3DB8">
        <w:rPr>
          <w:sz w:val="22"/>
          <w:szCs w:val="22"/>
          <w:lang w:val="es-CL"/>
        </w:rPr>
        <w:t>Mesas de tra</w:t>
      </w:r>
      <w:r w:rsidR="00F457A4">
        <w:rPr>
          <w:sz w:val="22"/>
          <w:szCs w:val="22"/>
          <w:lang w:val="es-CL"/>
        </w:rPr>
        <w:t>bajo donde se estudió el Libro P</w:t>
      </w:r>
      <w:r w:rsidRPr="002F3DB8">
        <w:rPr>
          <w:sz w:val="22"/>
          <w:szCs w:val="22"/>
          <w:lang w:val="es-CL"/>
        </w:rPr>
        <w:t>úrpura y antecedentes preliminares (año 2004)</w:t>
      </w:r>
    </w:p>
    <w:p w:rsidR="006E1497" w:rsidRPr="006E1497" w:rsidRDefault="006E1497" w:rsidP="00D4302C">
      <w:pPr>
        <w:pStyle w:val="ListParagraph"/>
        <w:numPr>
          <w:ilvl w:val="0"/>
          <w:numId w:val="33"/>
        </w:numPr>
        <w:autoSpaceDE w:val="0"/>
        <w:autoSpaceDN w:val="0"/>
        <w:adjustRightInd w:val="0"/>
        <w:jc w:val="both"/>
        <w:rPr>
          <w:sz w:val="22"/>
          <w:szCs w:val="22"/>
          <w:lang w:val="es-CL"/>
        </w:rPr>
      </w:pPr>
      <w:r w:rsidRPr="006E1497">
        <w:rPr>
          <w:sz w:val="22"/>
          <w:szCs w:val="22"/>
          <w:lang w:val="es-CL"/>
        </w:rPr>
        <w:t>Talleres de difusión que culminan con el I Seminario sobre GHS (año 2007)</w:t>
      </w:r>
    </w:p>
    <w:p w:rsidR="006E1497" w:rsidRPr="006E1497" w:rsidRDefault="006E1497" w:rsidP="00606EAC">
      <w:pPr>
        <w:autoSpaceDE w:val="0"/>
        <w:autoSpaceDN w:val="0"/>
        <w:adjustRightInd w:val="0"/>
        <w:jc w:val="both"/>
        <w:rPr>
          <w:rFonts w:cs="LucidaSansUnicode"/>
          <w:kern w:val="0"/>
          <w:sz w:val="22"/>
          <w:szCs w:val="22"/>
          <w:lang w:val="es-CL"/>
        </w:rPr>
      </w:pPr>
      <w:r w:rsidRPr="006E1497">
        <w:rPr>
          <w:sz w:val="22"/>
          <w:szCs w:val="22"/>
          <w:lang w:val="es-CL"/>
        </w:rPr>
        <w:t xml:space="preserve">En el año 2008, se elaboró la </w:t>
      </w:r>
      <w:r>
        <w:rPr>
          <w:sz w:val="22"/>
          <w:szCs w:val="22"/>
          <w:lang w:val="es-CL"/>
        </w:rPr>
        <w:t>“</w:t>
      </w:r>
      <w:r w:rsidRPr="006E1497">
        <w:rPr>
          <w:i/>
          <w:sz w:val="22"/>
          <w:szCs w:val="22"/>
          <w:lang w:val="es-CL"/>
        </w:rPr>
        <w:t>Política Nacional de Seguridad Química</w:t>
      </w:r>
      <w:r>
        <w:rPr>
          <w:sz w:val="22"/>
          <w:szCs w:val="22"/>
          <w:lang w:val="es-CL"/>
        </w:rPr>
        <w:t>”</w:t>
      </w:r>
      <w:r w:rsidRPr="006E1497">
        <w:rPr>
          <w:sz w:val="22"/>
          <w:szCs w:val="22"/>
          <w:lang w:val="es-CL"/>
        </w:rPr>
        <w:t xml:space="preserve"> que entre sus líneas de acción incluye</w:t>
      </w:r>
      <w:r w:rsidRPr="006E1497">
        <w:rPr>
          <w:rFonts w:cs="LucidaSansUnicode"/>
          <w:kern w:val="0"/>
          <w:sz w:val="22"/>
          <w:szCs w:val="22"/>
          <w:lang w:val="es-CL"/>
        </w:rPr>
        <w:t xml:space="preserve"> “</w:t>
      </w:r>
      <w:r w:rsidRPr="006E1497">
        <w:rPr>
          <w:rFonts w:cs="LucidaSansUnicode"/>
          <w:i/>
          <w:kern w:val="0"/>
          <w:sz w:val="22"/>
          <w:szCs w:val="22"/>
          <w:lang w:val="es-CL"/>
        </w:rPr>
        <w:t>Adoptar el sistema global armonizado de clasificación y etiquetado de Sustancias Químicas</w:t>
      </w:r>
      <w:r w:rsidRPr="006E1497">
        <w:rPr>
          <w:rFonts w:cs="LucidaSansUnicode"/>
          <w:kern w:val="0"/>
          <w:sz w:val="22"/>
          <w:szCs w:val="22"/>
          <w:lang w:val="es-CL"/>
        </w:rPr>
        <w:t xml:space="preserve">” donde se reafirma el compromiso respecto a la implementación del sistema. En el plan de acción a corto plazo (años 2009-2010) se establecen </w:t>
      </w:r>
      <w:r>
        <w:rPr>
          <w:rFonts w:cs="LucidaSansUnicode"/>
          <w:kern w:val="0"/>
          <w:sz w:val="22"/>
          <w:szCs w:val="22"/>
          <w:lang w:val="es-CL"/>
        </w:rPr>
        <w:t>los siguientes objetivos para el MINSAL (responsable de la acción)</w:t>
      </w:r>
      <w:r w:rsidR="002F3DB8">
        <w:rPr>
          <w:rFonts w:cs="LucidaSansUnicode"/>
          <w:kern w:val="0"/>
          <w:sz w:val="22"/>
          <w:szCs w:val="22"/>
          <w:lang w:val="es-CL"/>
        </w:rPr>
        <w:t>:</w:t>
      </w:r>
    </w:p>
    <w:p w:rsidR="006E1497" w:rsidRPr="006E1497" w:rsidRDefault="006E1497" w:rsidP="00D4302C">
      <w:pPr>
        <w:pStyle w:val="ListParagraph"/>
        <w:numPr>
          <w:ilvl w:val="0"/>
          <w:numId w:val="33"/>
        </w:numPr>
        <w:autoSpaceDE w:val="0"/>
        <w:autoSpaceDN w:val="0"/>
        <w:adjustRightInd w:val="0"/>
        <w:jc w:val="both"/>
        <w:rPr>
          <w:sz w:val="22"/>
          <w:szCs w:val="22"/>
          <w:lang w:val="es-CL"/>
        </w:rPr>
      </w:pPr>
      <w:r w:rsidRPr="006E1497">
        <w:rPr>
          <w:sz w:val="22"/>
          <w:szCs w:val="22"/>
          <w:lang w:val="es-CL"/>
        </w:rPr>
        <w:t>Crear un Comité Interinstitucional para analizar el estatus del país previo a la implementación del sistema.</w:t>
      </w:r>
    </w:p>
    <w:p w:rsidR="006E1497" w:rsidRPr="006E1497" w:rsidRDefault="006E1497" w:rsidP="00D4302C">
      <w:pPr>
        <w:pStyle w:val="ListParagraph"/>
        <w:numPr>
          <w:ilvl w:val="0"/>
          <w:numId w:val="33"/>
        </w:numPr>
        <w:autoSpaceDE w:val="0"/>
        <w:autoSpaceDN w:val="0"/>
        <w:adjustRightInd w:val="0"/>
        <w:jc w:val="both"/>
        <w:rPr>
          <w:sz w:val="22"/>
          <w:szCs w:val="22"/>
          <w:lang w:val="es-CL"/>
        </w:rPr>
      </w:pPr>
      <w:r w:rsidRPr="006E1497">
        <w:rPr>
          <w:sz w:val="22"/>
          <w:szCs w:val="22"/>
          <w:lang w:val="es-CL"/>
        </w:rPr>
        <w:t xml:space="preserve">Difundir y capacitar en materia de aplicación del GHS </w:t>
      </w:r>
    </w:p>
    <w:p w:rsidR="006E1497" w:rsidRPr="006E1497" w:rsidRDefault="006E1497" w:rsidP="00606EAC">
      <w:pPr>
        <w:autoSpaceDE w:val="0"/>
        <w:autoSpaceDN w:val="0"/>
        <w:adjustRightInd w:val="0"/>
        <w:jc w:val="both"/>
        <w:rPr>
          <w:sz w:val="22"/>
          <w:szCs w:val="22"/>
          <w:lang w:val="es-CL"/>
        </w:rPr>
      </w:pPr>
      <w:r w:rsidRPr="006E1497">
        <w:rPr>
          <w:sz w:val="22"/>
          <w:szCs w:val="22"/>
          <w:lang w:val="es-CL"/>
        </w:rPr>
        <w:t xml:space="preserve">Mientras que en el plan a mediano plazo (años 2011-2103) se establece </w:t>
      </w:r>
      <w:r w:rsidRPr="006E1497">
        <w:rPr>
          <w:i/>
          <w:sz w:val="22"/>
          <w:szCs w:val="22"/>
          <w:lang w:val="es-CL"/>
        </w:rPr>
        <w:t>“Desarrollar e implementar un plan gradual para la puesta en marcha del GHS”</w:t>
      </w:r>
      <w:r>
        <w:rPr>
          <w:i/>
          <w:sz w:val="22"/>
          <w:szCs w:val="22"/>
          <w:lang w:val="es-CL"/>
        </w:rPr>
        <w:t xml:space="preserve">, </w:t>
      </w:r>
      <w:r>
        <w:rPr>
          <w:sz w:val="22"/>
          <w:szCs w:val="22"/>
          <w:lang w:val="es-CL"/>
        </w:rPr>
        <w:t>bajo la responsabilidad del Comité Interinstitucional.</w:t>
      </w:r>
    </w:p>
    <w:p w:rsidR="006E1497" w:rsidRPr="006E1497" w:rsidRDefault="006E1497" w:rsidP="00606EAC">
      <w:pPr>
        <w:autoSpaceDE w:val="0"/>
        <w:autoSpaceDN w:val="0"/>
        <w:adjustRightInd w:val="0"/>
        <w:jc w:val="both"/>
        <w:rPr>
          <w:sz w:val="22"/>
          <w:szCs w:val="22"/>
          <w:lang w:val="es-CL"/>
        </w:rPr>
      </w:pPr>
      <w:r>
        <w:rPr>
          <w:sz w:val="22"/>
          <w:szCs w:val="22"/>
          <w:lang w:val="es-CL"/>
        </w:rPr>
        <w:t>También durante el año 2008 se</w:t>
      </w:r>
      <w:r w:rsidRPr="006E1497">
        <w:rPr>
          <w:sz w:val="22"/>
          <w:szCs w:val="22"/>
          <w:lang w:val="es-CL"/>
        </w:rPr>
        <w:t xml:space="preserve"> desarrollan otras actividades como:</w:t>
      </w:r>
    </w:p>
    <w:p w:rsidR="006E1497" w:rsidRPr="006E1497" w:rsidRDefault="006E1497" w:rsidP="00D4302C">
      <w:pPr>
        <w:pStyle w:val="ListParagraph"/>
        <w:numPr>
          <w:ilvl w:val="0"/>
          <w:numId w:val="35"/>
        </w:numPr>
        <w:autoSpaceDE w:val="0"/>
        <w:autoSpaceDN w:val="0"/>
        <w:adjustRightInd w:val="0"/>
        <w:jc w:val="both"/>
        <w:rPr>
          <w:sz w:val="22"/>
          <w:szCs w:val="22"/>
          <w:lang w:val="es-CL"/>
        </w:rPr>
      </w:pPr>
      <w:r w:rsidRPr="006E1497">
        <w:rPr>
          <w:sz w:val="22"/>
          <w:szCs w:val="22"/>
          <w:lang w:val="es-CL"/>
        </w:rPr>
        <w:t>Identificación de expertos nacionales.</w:t>
      </w:r>
    </w:p>
    <w:p w:rsidR="006E1497" w:rsidRPr="006E1497" w:rsidRDefault="006E1497" w:rsidP="00D4302C">
      <w:pPr>
        <w:pStyle w:val="ListParagraph"/>
        <w:numPr>
          <w:ilvl w:val="0"/>
          <w:numId w:val="35"/>
        </w:numPr>
        <w:autoSpaceDE w:val="0"/>
        <w:autoSpaceDN w:val="0"/>
        <w:adjustRightInd w:val="0"/>
        <w:jc w:val="both"/>
        <w:rPr>
          <w:sz w:val="22"/>
          <w:szCs w:val="22"/>
          <w:lang w:val="es-CL"/>
        </w:rPr>
      </w:pPr>
      <w:r w:rsidRPr="006E1497">
        <w:rPr>
          <w:sz w:val="22"/>
          <w:szCs w:val="22"/>
          <w:lang w:val="es-CL"/>
        </w:rPr>
        <w:t>Reuniones con actores claves.</w:t>
      </w:r>
    </w:p>
    <w:p w:rsidR="006E1497" w:rsidRPr="006E1497" w:rsidRDefault="006E1497" w:rsidP="00D4302C">
      <w:pPr>
        <w:pStyle w:val="ListParagraph"/>
        <w:numPr>
          <w:ilvl w:val="0"/>
          <w:numId w:val="35"/>
        </w:numPr>
        <w:autoSpaceDE w:val="0"/>
        <w:autoSpaceDN w:val="0"/>
        <w:adjustRightInd w:val="0"/>
        <w:jc w:val="both"/>
        <w:rPr>
          <w:sz w:val="22"/>
          <w:szCs w:val="22"/>
          <w:lang w:val="es-CL"/>
        </w:rPr>
      </w:pPr>
      <w:r w:rsidRPr="006E1497">
        <w:rPr>
          <w:sz w:val="22"/>
          <w:szCs w:val="22"/>
          <w:lang w:val="es-CL"/>
        </w:rPr>
        <w:t>Visita a conocer experiencia en Brasil.</w:t>
      </w:r>
    </w:p>
    <w:p w:rsidR="006E1497" w:rsidRPr="006E1497" w:rsidRDefault="006E1497" w:rsidP="00D4302C">
      <w:pPr>
        <w:pStyle w:val="ListParagraph"/>
        <w:numPr>
          <w:ilvl w:val="0"/>
          <w:numId w:val="35"/>
        </w:numPr>
        <w:autoSpaceDE w:val="0"/>
        <w:autoSpaceDN w:val="0"/>
        <w:adjustRightInd w:val="0"/>
        <w:jc w:val="both"/>
        <w:rPr>
          <w:sz w:val="22"/>
          <w:szCs w:val="22"/>
          <w:lang w:val="es-CL"/>
        </w:rPr>
      </w:pPr>
      <w:r w:rsidRPr="006E1497">
        <w:rPr>
          <w:sz w:val="22"/>
          <w:szCs w:val="22"/>
          <w:lang w:val="es-CL"/>
        </w:rPr>
        <w:t xml:space="preserve">Realización de Primera Mesa Técnica gubernamental para analizar el Libro púrpura. </w:t>
      </w:r>
    </w:p>
    <w:p w:rsidR="006E1497" w:rsidRPr="006E1497" w:rsidRDefault="006E1497" w:rsidP="00D4302C">
      <w:pPr>
        <w:pStyle w:val="ListParagraph"/>
        <w:numPr>
          <w:ilvl w:val="0"/>
          <w:numId w:val="35"/>
        </w:numPr>
        <w:autoSpaceDE w:val="0"/>
        <w:autoSpaceDN w:val="0"/>
        <w:adjustRightInd w:val="0"/>
        <w:jc w:val="both"/>
        <w:rPr>
          <w:sz w:val="22"/>
          <w:szCs w:val="22"/>
          <w:lang w:val="es-CL"/>
        </w:rPr>
      </w:pPr>
      <w:r w:rsidRPr="006E1497">
        <w:rPr>
          <w:sz w:val="22"/>
          <w:szCs w:val="22"/>
          <w:lang w:val="es-CL"/>
        </w:rPr>
        <w:t xml:space="preserve">II Seminario sobre GHS. </w:t>
      </w:r>
    </w:p>
    <w:p w:rsidR="006E1497" w:rsidRPr="006E1497" w:rsidRDefault="006E1497" w:rsidP="00606EAC">
      <w:pPr>
        <w:autoSpaceDE w:val="0"/>
        <w:autoSpaceDN w:val="0"/>
        <w:adjustRightInd w:val="0"/>
        <w:jc w:val="both"/>
        <w:rPr>
          <w:sz w:val="22"/>
          <w:szCs w:val="22"/>
          <w:lang w:val="es-CL"/>
        </w:rPr>
      </w:pPr>
      <w:r w:rsidRPr="00300A91">
        <w:rPr>
          <w:sz w:val="22"/>
          <w:szCs w:val="22"/>
          <w:lang w:val="es-CL"/>
        </w:rPr>
        <w:t xml:space="preserve">En </w:t>
      </w:r>
      <w:r w:rsidRPr="006E1497">
        <w:rPr>
          <w:sz w:val="22"/>
          <w:szCs w:val="22"/>
          <w:lang w:val="es-CL"/>
        </w:rPr>
        <w:t xml:space="preserve">forma paralela, en el año 2008 se desarrolló la </w:t>
      </w:r>
      <w:r w:rsidRPr="006E1497">
        <w:rPr>
          <w:i/>
          <w:sz w:val="22"/>
          <w:szCs w:val="22"/>
          <w:lang w:val="es-CL"/>
        </w:rPr>
        <w:t>“Actualización del Perfil Nacional sobre Gestión de las Sustancias Químicas</w:t>
      </w:r>
      <w:r>
        <w:rPr>
          <w:sz w:val="22"/>
          <w:szCs w:val="22"/>
          <w:lang w:val="es-CL"/>
        </w:rPr>
        <w:t>”</w:t>
      </w:r>
      <w:r w:rsidRPr="006E1497">
        <w:rPr>
          <w:sz w:val="22"/>
          <w:szCs w:val="22"/>
          <w:lang w:val="es-CL"/>
        </w:rPr>
        <w:t>, documento que contiene información relevante y sería base fundamental para el desarrollo del futuro plan de implementación del GHS.</w:t>
      </w:r>
    </w:p>
    <w:p w:rsidR="006E1497" w:rsidRPr="006E1497" w:rsidRDefault="006E1497" w:rsidP="00606EAC">
      <w:pPr>
        <w:autoSpaceDE w:val="0"/>
        <w:autoSpaceDN w:val="0"/>
        <w:adjustRightInd w:val="0"/>
        <w:jc w:val="both"/>
        <w:rPr>
          <w:rFonts w:cs="LucidaSansUnicode"/>
          <w:kern w:val="0"/>
          <w:sz w:val="22"/>
          <w:szCs w:val="22"/>
          <w:lang w:val="es-CL"/>
        </w:rPr>
      </w:pPr>
      <w:r w:rsidRPr="006E1497">
        <w:rPr>
          <w:rFonts w:cs="LucidaSansUnicode"/>
          <w:kern w:val="0"/>
          <w:sz w:val="22"/>
          <w:szCs w:val="22"/>
          <w:lang w:val="es-CL"/>
        </w:rPr>
        <w:t xml:space="preserve">En el año 2011, Chile se adjudica un proyecto del Fondo Fiduciario del Programa de Inicio Rápido del SAICM (Enfoque Estratégico para la Gestión de Productos Químicos a Nivel Internacional) que permite financiar las actividades de creación de capacidades de los actores involucrados y la elaboración de la estrategia de implementación del GHS. A esta instancia de cooperación se suma la participación de Chile en el proyecto regional de Coordinación e Implementación del GHS del Mercosur/BID, el apoyo que brinda la OCDE a sus países miembros mediante el acceso a información a través del portal </w:t>
      </w:r>
      <w:r w:rsidRPr="006E1497">
        <w:rPr>
          <w:rFonts w:cs="LucidaSansUnicode"/>
          <w:i/>
          <w:kern w:val="0"/>
          <w:sz w:val="22"/>
          <w:szCs w:val="22"/>
          <w:lang w:val="es-CL"/>
        </w:rPr>
        <w:t xml:space="preserve">eChemPortal </w:t>
      </w:r>
      <w:r w:rsidRPr="006E1497">
        <w:rPr>
          <w:rFonts w:cs="LucidaSansUnicode"/>
          <w:kern w:val="0"/>
          <w:sz w:val="22"/>
          <w:szCs w:val="22"/>
          <w:lang w:val="es-CL"/>
        </w:rPr>
        <w:t xml:space="preserve">sobre clasificaciones de productos químicos y el acceso al centro de información sobre el GHS del programa </w:t>
      </w:r>
      <w:r w:rsidRPr="006E1497">
        <w:rPr>
          <w:rFonts w:cs="LucidaSansUnicode"/>
          <w:i/>
          <w:kern w:val="0"/>
          <w:sz w:val="22"/>
          <w:szCs w:val="22"/>
          <w:lang w:val="es-CL"/>
        </w:rPr>
        <w:t>The Chemical Dialogue</w:t>
      </w:r>
      <w:r w:rsidRPr="006E1497">
        <w:rPr>
          <w:rFonts w:cs="LucidaSansUnicode"/>
          <w:kern w:val="0"/>
          <w:sz w:val="22"/>
          <w:szCs w:val="22"/>
          <w:lang w:val="es-CL"/>
        </w:rPr>
        <w:t xml:space="preserve"> de la APEC </w:t>
      </w:r>
      <w:r w:rsidRPr="006E1497">
        <w:rPr>
          <w:sz w:val="22"/>
          <w:szCs w:val="22"/>
          <w:lang w:val="es-CL"/>
        </w:rPr>
        <w:t xml:space="preserve">sobre elementos de etiquetados estandarizados del GHS en distintos lenguajes y reportes sobre el status de implementación del sistema en los países miembros. </w:t>
      </w:r>
    </w:p>
    <w:p w:rsidR="006E1497" w:rsidRPr="006E1497" w:rsidRDefault="006E1497" w:rsidP="00606EAC">
      <w:pPr>
        <w:autoSpaceDE w:val="0"/>
        <w:autoSpaceDN w:val="0"/>
        <w:adjustRightInd w:val="0"/>
        <w:jc w:val="both"/>
        <w:rPr>
          <w:rFonts w:cs="LucidaSansUnicode"/>
          <w:kern w:val="0"/>
          <w:sz w:val="22"/>
          <w:szCs w:val="22"/>
          <w:lang w:val="es-CL"/>
        </w:rPr>
      </w:pPr>
      <w:r w:rsidRPr="006E1497">
        <w:rPr>
          <w:rFonts w:cs="LucidaSansUnicode"/>
          <w:kern w:val="0"/>
          <w:sz w:val="22"/>
          <w:szCs w:val="22"/>
          <w:lang w:val="es-CL"/>
        </w:rPr>
        <w:t xml:space="preserve">A partir del año 2012, se desarrollan la mayoría de las actividades de este proyecto enfocadas en la creación de capacidades y preparación de la estrategia nacional de implementación. En primer lugar, se convoca al Sector Gubernamental, Privado y Entidades no Gubernamentales y se forma el Comité Coordinador del Proyecto, delimitando los Términos de Referencia y estableciendo el Plan de Trabajo y presupuesto para los 2 años de duración del proyecto (2012-2014). </w:t>
      </w:r>
    </w:p>
    <w:p w:rsidR="006E1497" w:rsidRPr="006E1497" w:rsidRDefault="006E1497" w:rsidP="00606EAC">
      <w:pPr>
        <w:autoSpaceDE w:val="0"/>
        <w:autoSpaceDN w:val="0"/>
        <w:adjustRightInd w:val="0"/>
        <w:jc w:val="both"/>
        <w:rPr>
          <w:rFonts w:cs="LucidaSansUnicode"/>
          <w:kern w:val="0"/>
          <w:sz w:val="22"/>
          <w:szCs w:val="22"/>
          <w:lang w:val="es-CL"/>
        </w:rPr>
      </w:pPr>
      <w:r w:rsidRPr="006E1497">
        <w:rPr>
          <w:rFonts w:cs="LucidaSansUnicode"/>
          <w:kern w:val="0"/>
          <w:sz w:val="22"/>
          <w:szCs w:val="22"/>
          <w:lang w:val="es-CL"/>
        </w:rPr>
        <w:t>El plan de trabajo del proyecto se detalla a continuación:</w:t>
      </w:r>
    </w:p>
    <w:p w:rsidR="006E1497" w:rsidRPr="006E1497" w:rsidRDefault="006E1497" w:rsidP="00606EAC">
      <w:pPr>
        <w:autoSpaceDE w:val="0"/>
        <w:autoSpaceDN w:val="0"/>
        <w:adjustRightInd w:val="0"/>
        <w:jc w:val="both"/>
        <w:rPr>
          <w:rFonts w:cs="LucidaSansUnicode"/>
          <w:b/>
          <w:kern w:val="0"/>
          <w:sz w:val="22"/>
          <w:szCs w:val="22"/>
          <w:u w:val="single"/>
          <w:lang w:val="es-CL"/>
        </w:rPr>
      </w:pPr>
      <w:r w:rsidRPr="006E1497">
        <w:rPr>
          <w:rFonts w:cs="LucidaSansUnicode"/>
          <w:b/>
          <w:kern w:val="0"/>
          <w:sz w:val="22"/>
          <w:szCs w:val="22"/>
          <w:u w:val="single"/>
          <w:lang w:val="es-CL"/>
        </w:rPr>
        <w:t>A</w:t>
      </w:r>
      <w:r w:rsidR="004869A7">
        <w:rPr>
          <w:rFonts w:cs="LucidaSansUnicode"/>
          <w:b/>
          <w:kern w:val="0"/>
          <w:sz w:val="22"/>
          <w:szCs w:val="22"/>
          <w:u w:val="single"/>
          <w:lang w:val="es-CL"/>
        </w:rPr>
        <w:t>ñ</w:t>
      </w:r>
      <w:r w:rsidRPr="006E1497">
        <w:rPr>
          <w:rFonts w:cs="LucidaSansUnicode"/>
          <w:b/>
          <w:kern w:val="0"/>
          <w:sz w:val="22"/>
          <w:szCs w:val="22"/>
          <w:u w:val="single"/>
          <w:lang w:val="es-CL"/>
        </w:rPr>
        <w:t>o 2012</w:t>
      </w:r>
    </w:p>
    <w:p w:rsidR="006E1497" w:rsidRPr="006E1497" w:rsidRDefault="006E1497" w:rsidP="00D4302C">
      <w:pPr>
        <w:pStyle w:val="ListParagraph"/>
        <w:numPr>
          <w:ilvl w:val="0"/>
          <w:numId w:val="36"/>
        </w:numPr>
        <w:autoSpaceDE w:val="0"/>
        <w:autoSpaceDN w:val="0"/>
        <w:adjustRightInd w:val="0"/>
        <w:jc w:val="both"/>
        <w:rPr>
          <w:rFonts w:cs="LucidaSansUnicode"/>
          <w:kern w:val="0"/>
          <w:sz w:val="22"/>
          <w:szCs w:val="22"/>
          <w:lang w:val="es-CL"/>
        </w:rPr>
      </w:pPr>
      <w:r w:rsidRPr="006E1497">
        <w:rPr>
          <w:rFonts w:cs="LucidaSansUnicode"/>
          <w:kern w:val="0"/>
          <w:sz w:val="22"/>
          <w:szCs w:val="22"/>
          <w:lang w:val="es-CL"/>
        </w:rPr>
        <w:t>Preparación de términos de referencia breves del Comité de Coordinación del Proyecto</w:t>
      </w:r>
    </w:p>
    <w:p w:rsidR="006E1497" w:rsidRPr="006E1497" w:rsidRDefault="006E1497" w:rsidP="00D4302C">
      <w:pPr>
        <w:pStyle w:val="ListParagraph"/>
        <w:numPr>
          <w:ilvl w:val="0"/>
          <w:numId w:val="36"/>
        </w:numPr>
        <w:autoSpaceDE w:val="0"/>
        <w:autoSpaceDN w:val="0"/>
        <w:adjustRightInd w:val="0"/>
        <w:jc w:val="both"/>
        <w:rPr>
          <w:rFonts w:cs="LucidaSansUnicode"/>
          <w:kern w:val="0"/>
          <w:sz w:val="22"/>
          <w:szCs w:val="22"/>
          <w:lang w:val="es-CL"/>
        </w:rPr>
      </w:pPr>
      <w:r w:rsidRPr="006E1497">
        <w:rPr>
          <w:rFonts w:cs="LucidaSansUnicode"/>
          <w:kern w:val="0"/>
          <w:sz w:val="22"/>
          <w:szCs w:val="22"/>
          <w:lang w:val="es-CL"/>
        </w:rPr>
        <w:t>Preparación de plan de trabajo del proyecto</w:t>
      </w:r>
    </w:p>
    <w:p w:rsidR="006E1497" w:rsidRPr="006E1497" w:rsidRDefault="006E1497" w:rsidP="00D4302C">
      <w:pPr>
        <w:pStyle w:val="ListParagraph"/>
        <w:numPr>
          <w:ilvl w:val="0"/>
          <w:numId w:val="36"/>
        </w:numPr>
        <w:autoSpaceDE w:val="0"/>
        <w:autoSpaceDN w:val="0"/>
        <w:adjustRightInd w:val="0"/>
        <w:jc w:val="both"/>
        <w:rPr>
          <w:rFonts w:cs="LucidaSansUnicode"/>
          <w:kern w:val="0"/>
          <w:sz w:val="22"/>
          <w:szCs w:val="22"/>
          <w:lang w:val="es-CL"/>
        </w:rPr>
      </w:pPr>
      <w:r w:rsidRPr="006E1497">
        <w:rPr>
          <w:rFonts w:cs="LucidaSansUnicode"/>
          <w:kern w:val="0"/>
          <w:sz w:val="22"/>
          <w:szCs w:val="22"/>
          <w:lang w:val="es-CL"/>
        </w:rPr>
        <w:t>Organización de un Taller de Introducción y Planificación</w:t>
      </w:r>
    </w:p>
    <w:p w:rsidR="006E1497" w:rsidRPr="006E1497" w:rsidRDefault="006E1497" w:rsidP="00D4302C">
      <w:pPr>
        <w:pStyle w:val="ListParagraph"/>
        <w:numPr>
          <w:ilvl w:val="0"/>
          <w:numId w:val="36"/>
        </w:numPr>
        <w:autoSpaceDE w:val="0"/>
        <w:autoSpaceDN w:val="0"/>
        <w:adjustRightInd w:val="0"/>
        <w:jc w:val="both"/>
        <w:rPr>
          <w:rFonts w:cs="LucidaSansUnicode"/>
          <w:kern w:val="0"/>
          <w:sz w:val="22"/>
          <w:szCs w:val="22"/>
          <w:lang w:val="es-CL"/>
        </w:rPr>
      </w:pPr>
      <w:r w:rsidRPr="006E1497">
        <w:rPr>
          <w:rFonts w:cs="LucidaSansUnicode"/>
          <w:kern w:val="0"/>
          <w:sz w:val="22"/>
          <w:szCs w:val="22"/>
          <w:lang w:val="es-CL"/>
        </w:rPr>
        <w:t>Suministro de materiales de orientación y capacitación a Chile para su distribución oportuna antes del Taller de Introducción y Planificación</w:t>
      </w:r>
    </w:p>
    <w:p w:rsidR="006E1497" w:rsidRPr="006E1497" w:rsidRDefault="006E1497" w:rsidP="00D4302C">
      <w:pPr>
        <w:pStyle w:val="ListParagraph"/>
        <w:numPr>
          <w:ilvl w:val="0"/>
          <w:numId w:val="36"/>
        </w:numPr>
        <w:autoSpaceDE w:val="0"/>
        <w:autoSpaceDN w:val="0"/>
        <w:adjustRightInd w:val="0"/>
        <w:jc w:val="both"/>
        <w:rPr>
          <w:rFonts w:cs="LucidaSansUnicode"/>
          <w:kern w:val="0"/>
          <w:sz w:val="22"/>
          <w:szCs w:val="22"/>
          <w:lang w:val="es-CL"/>
        </w:rPr>
      </w:pPr>
      <w:r w:rsidRPr="006E1497">
        <w:rPr>
          <w:rFonts w:cs="LucidaSansUnicode"/>
          <w:kern w:val="0"/>
          <w:sz w:val="22"/>
          <w:szCs w:val="22"/>
          <w:lang w:val="es-CL"/>
        </w:rPr>
        <w:t>Taller Nacional de Introducción y Planificación</w:t>
      </w:r>
    </w:p>
    <w:p w:rsidR="006E1497" w:rsidRPr="006E1497" w:rsidRDefault="006E1497" w:rsidP="00D4302C">
      <w:pPr>
        <w:pStyle w:val="ListParagraph"/>
        <w:numPr>
          <w:ilvl w:val="0"/>
          <w:numId w:val="36"/>
        </w:numPr>
        <w:autoSpaceDE w:val="0"/>
        <w:autoSpaceDN w:val="0"/>
        <w:adjustRightInd w:val="0"/>
        <w:jc w:val="both"/>
        <w:rPr>
          <w:rFonts w:cs="LucidaSansUnicode"/>
          <w:kern w:val="0"/>
          <w:sz w:val="22"/>
          <w:szCs w:val="22"/>
          <w:lang w:val="es-CL"/>
        </w:rPr>
      </w:pPr>
      <w:r w:rsidRPr="006E1497">
        <w:rPr>
          <w:rFonts w:cs="LucidaSansUnicode"/>
          <w:kern w:val="0"/>
          <w:sz w:val="22"/>
          <w:szCs w:val="22"/>
          <w:lang w:val="es-CL"/>
        </w:rPr>
        <w:t>Preparación de un Análisis de Situación y Vacíos para la Implementación del GHS</w:t>
      </w:r>
    </w:p>
    <w:p w:rsidR="006E1497" w:rsidRPr="006E1497" w:rsidRDefault="006E1497" w:rsidP="00D4302C">
      <w:pPr>
        <w:pStyle w:val="ListParagraph"/>
        <w:numPr>
          <w:ilvl w:val="0"/>
          <w:numId w:val="36"/>
        </w:numPr>
        <w:autoSpaceDE w:val="0"/>
        <w:autoSpaceDN w:val="0"/>
        <w:adjustRightInd w:val="0"/>
        <w:jc w:val="both"/>
        <w:rPr>
          <w:rFonts w:cs="LucidaSansUnicode"/>
          <w:kern w:val="0"/>
          <w:sz w:val="22"/>
          <w:szCs w:val="22"/>
          <w:lang w:val="es-CL"/>
        </w:rPr>
      </w:pPr>
      <w:r w:rsidRPr="006E1497">
        <w:rPr>
          <w:rFonts w:cs="LucidaSansUnicode"/>
          <w:kern w:val="0"/>
          <w:sz w:val="22"/>
          <w:szCs w:val="22"/>
          <w:lang w:val="es-CL"/>
        </w:rPr>
        <w:t>Adaptación de los cursos de formación sobre el GHS desarrollados por UNITAR a las necesidades del país</w:t>
      </w:r>
    </w:p>
    <w:p w:rsidR="006E1497" w:rsidRDefault="006E1497" w:rsidP="00D4302C">
      <w:pPr>
        <w:pStyle w:val="ListParagraph"/>
        <w:numPr>
          <w:ilvl w:val="0"/>
          <w:numId w:val="36"/>
        </w:numPr>
        <w:autoSpaceDE w:val="0"/>
        <w:autoSpaceDN w:val="0"/>
        <w:adjustRightInd w:val="0"/>
        <w:jc w:val="both"/>
        <w:rPr>
          <w:rFonts w:cs="LucidaSansUnicode"/>
          <w:kern w:val="0"/>
          <w:sz w:val="22"/>
          <w:szCs w:val="22"/>
          <w:lang w:val="es-CL"/>
        </w:rPr>
      </w:pPr>
      <w:r w:rsidRPr="006E1497">
        <w:rPr>
          <w:rFonts w:cs="LucidaSansUnicode"/>
          <w:kern w:val="0"/>
          <w:sz w:val="22"/>
          <w:szCs w:val="22"/>
          <w:lang w:val="es-CL"/>
        </w:rPr>
        <w:t>Diseño y desarrollo de una serie de actividades de apoyo e identificación de los grupos de la sociedad civil pertinentes a nivel nacional</w:t>
      </w:r>
    </w:p>
    <w:p w:rsidR="006D0FB7" w:rsidRPr="006E1497" w:rsidRDefault="006D0FB7" w:rsidP="006D0FB7">
      <w:pPr>
        <w:pStyle w:val="ListParagraph"/>
        <w:autoSpaceDE w:val="0"/>
        <w:autoSpaceDN w:val="0"/>
        <w:adjustRightInd w:val="0"/>
        <w:jc w:val="both"/>
        <w:rPr>
          <w:rFonts w:cs="LucidaSansUnicode"/>
          <w:kern w:val="0"/>
          <w:sz w:val="22"/>
          <w:szCs w:val="22"/>
          <w:lang w:val="es-CL"/>
        </w:rPr>
      </w:pPr>
    </w:p>
    <w:p w:rsidR="006E1497" w:rsidRPr="006E1497" w:rsidRDefault="006E1497" w:rsidP="00606EAC">
      <w:pPr>
        <w:autoSpaceDE w:val="0"/>
        <w:autoSpaceDN w:val="0"/>
        <w:adjustRightInd w:val="0"/>
        <w:jc w:val="both"/>
        <w:rPr>
          <w:rFonts w:cs="LucidaSansUnicode"/>
          <w:b/>
          <w:kern w:val="0"/>
          <w:sz w:val="22"/>
          <w:szCs w:val="22"/>
          <w:u w:val="single"/>
          <w:lang w:val="es-CL"/>
        </w:rPr>
      </w:pPr>
      <w:r w:rsidRPr="006E1497">
        <w:rPr>
          <w:rFonts w:cs="LucidaSansUnicode"/>
          <w:b/>
          <w:kern w:val="0"/>
          <w:sz w:val="22"/>
          <w:szCs w:val="22"/>
          <w:u w:val="single"/>
          <w:lang w:val="es-CL"/>
        </w:rPr>
        <w:t>Año 2013</w:t>
      </w:r>
    </w:p>
    <w:p w:rsidR="006E1497" w:rsidRPr="006E1497" w:rsidRDefault="006E1497" w:rsidP="00D4302C">
      <w:pPr>
        <w:pStyle w:val="ListParagraph"/>
        <w:numPr>
          <w:ilvl w:val="0"/>
          <w:numId w:val="37"/>
        </w:numPr>
        <w:autoSpaceDE w:val="0"/>
        <w:autoSpaceDN w:val="0"/>
        <w:adjustRightInd w:val="0"/>
        <w:jc w:val="both"/>
        <w:rPr>
          <w:rFonts w:cs="LucidaSansUnicode"/>
          <w:kern w:val="0"/>
          <w:sz w:val="22"/>
          <w:szCs w:val="22"/>
          <w:lang w:val="es-CL"/>
        </w:rPr>
      </w:pPr>
      <w:r w:rsidRPr="006E1497">
        <w:rPr>
          <w:rFonts w:cs="LucidaSansUnicode"/>
          <w:kern w:val="0"/>
          <w:sz w:val="22"/>
          <w:szCs w:val="22"/>
          <w:lang w:val="es-CL"/>
        </w:rPr>
        <w:t>Preparación de un borrador de Estrategia Nacional para la Implementación del GHS</w:t>
      </w:r>
    </w:p>
    <w:p w:rsidR="006E1497" w:rsidRPr="006E1497" w:rsidRDefault="006E1497" w:rsidP="00D4302C">
      <w:pPr>
        <w:pStyle w:val="ListParagraph"/>
        <w:numPr>
          <w:ilvl w:val="0"/>
          <w:numId w:val="37"/>
        </w:numPr>
        <w:autoSpaceDE w:val="0"/>
        <w:autoSpaceDN w:val="0"/>
        <w:adjustRightInd w:val="0"/>
        <w:jc w:val="both"/>
        <w:rPr>
          <w:rFonts w:cs="LucidaSansUnicode"/>
          <w:kern w:val="0"/>
          <w:sz w:val="22"/>
          <w:szCs w:val="22"/>
          <w:lang w:val="es-CL"/>
        </w:rPr>
      </w:pPr>
      <w:r w:rsidRPr="006E1497">
        <w:rPr>
          <w:rFonts w:cs="LucidaSansUnicode"/>
          <w:kern w:val="0"/>
          <w:sz w:val="22"/>
          <w:szCs w:val="22"/>
          <w:lang w:val="es-CL"/>
        </w:rPr>
        <w:t>Organización, facilitación e implementación de actividades de capacitación sobre el GHS</w:t>
      </w:r>
    </w:p>
    <w:p w:rsidR="006E1497" w:rsidRPr="006E1497" w:rsidRDefault="006E1497" w:rsidP="00D4302C">
      <w:pPr>
        <w:pStyle w:val="ListParagraph"/>
        <w:numPr>
          <w:ilvl w:val="0"/>
          <w:numId w:val="37"/>
        </w:numPr>
        <w:autoSpaceDE w:val="0"/>
        <w:autoSpaceDN w:val="0"/>
        <w:adjustRightInd w:val="0"/>
        <w:jc w:val="both"/>
        <w:rPr>
          <w:rFonts w:cs="LucidaSansUnicode"/>
          <w:kern w:val="0"/>
          <w:sz w:val="22"/>
          <w:szCs w:val="22"/>
          <w:lang w:val="es-CL"/>
        </w:rPr>
      </w:pPr>
      <w:r w:rsidRPr="006E1497">
        <w:rPr>
          <w:rFonts w:cs="LucidaSansUnicode"/>
          <w:kern w:val="0"/>
          <w:sz w:val="22"/>
          <w:szCs w:val="22"/>
          <w:lang w:val="es-CL"/>
        </w:rPr>
        <w:t>Realización de una serie de actividades para avanzar en la implementación nacional del GHS</w:t>
      </w:r>
    </w:p>
    <w:p w:rsidR="006E1497" w:rsidRPr="006E1497" w:rsidRDefault="006E1497" w:rsidP="00D4302C">
      <w:pPr>
        <w:pStyle w:val="ListParagraph"/>
        <w:numPr>
          <w:ilvl w:val="0"/>
          <w:numId w:val="37"/>
        </w:numPr>
        <w:autoSpaceDE w:val="0"/>
        <w:autoSpaceDN w:val="0"/>
        <w:adjustRightInd w:val="0"/>
        <w:jc w:val="both"/>
        <w:rPr>
          <w:rFonts w:cs="LucidaSansUnicode"/>
          <w:kern w:val="0"/>
          <w:sz w:val="22"/>
          <w:szCs w:val="22"/>
          <w:lang w:val="es-CL"/>
        </w:rPr>
      </w:pPr>
      <w:r w:rsidRPr="006E1497">
        <w:rPr>
          <w:rFonts w:cs="LucidaSansUnicode"/>
          <w:kern w:val="0"/>
          <w:sz w:val="22"/>
          <w:szCs w:val="22"/>
          <w:lang w:val="es-CL"/>
        </w:rPr>
        <w:t>Suministro de materiales de orientación y capacitación a Chile para su distribución oportuna antes del Taller Nacional sobre el GHS</w:t>
      </w:r>
    </w:p>
    <w:p w:rsidR="006E1497" w:rsidRPr="006E1497" w:rsidRDefault="006E1497" w:rsidP="00606EAC">
      <w:pPr>
        <w:autoSpaceDE w:val="0"/>
        <w:autoSpaceDN w:val="0"/>
        <w:adjustRightInd w:val="0"/>
        <w:jc w:val="both"/>
        <w:rPr>
          <w:rFonts w:cs="LucidaSansUnicode"/>
          <w:b/>
          <w:kern w:val="0"/>
          <w:sz w:val="22"/>
          <w:szCs w:val="22"/>
          <w:u w:val="single"/>
          <w:lang w:val="es-CL"/>
        </w:rPr>
      </w:pPr>
      <w:r w:rsidRPr="006E1497">
        <w:rPr>
          <w:rFonts w:cs="LucidaSansUnicode"/>
          <w:b/>
          <w:kern w:val="0"/>
          <w:sz w:val="22"/>
          <w:szCs w:val="22"/>
          <w:u w:val="single"/>
          <w:lang w:val="es-CL"/>
        </w:rPr>
        <w:t>Año 2014</w:t>
      </w:r>
    </w:p>
    <w:p w:rsidR="006E1497" w:rsidRPr="006E1497" w:rsidRDefault="006E1497" w:rsidP="00D4302C">
      <w:pPr>
        <w:pStyle w:val="ListParagraph"/>
        <w:numPr>
          <w:ilvl w:val="0"/>
          <w:numId w:val="38"/>
        </w:numPr>
        <w:autoSpaceDE w:val="0"/>
        <w:autoSpaceDN w:val="0"/>
        <w:adjustRightInd w:val="0"/>
        <w:jc w:val="both"/>
        <w:rPr>
          <w:rFonts w:cs="LucidaSansUnicode"/>
          <w:kern w:val="0"/>
          <w:sz w:val="22"/>
          <w:szCs w:val="22"/>
          <w:lang w:val="es-CL"/>
        </w:rPr>
      </w:pPr>
      <w:r w:rsidRPr="006E1497">
        <w:rPr>
          <w:rFonts w:cs="LucidaSansUnicode"/>
          <w:kern w:val="0"/>
          <w:sz w:val="22"/>
          <w:szCs w:val="22"/>
          <w:lang w:val="es-CL"/>
        </w:rPr>
        <w:t>Preparación de la versión revisada y finalizada de la Estrategia Nacional para la Implementación del GHS</w:t>
      </w:r>
    </w:p>
    <w:p w:rsidR="006E1497" w:rsidRPr="006E1497" w:rsidRDefault="006E1497" w:rsidP="00D4302C">
      <w:pPr>
        <w:pStyle w:val="ListParagraph"/>
        <w:numPr>
          <w:ilvl w:val="0"/>
          <w:numId w:val="38"/>
        </w:numPr>
        <w:autoSpaceDE w:val="0"/>
        <w:autoSpaceDN w:val="0"/>
        <w:adjustRightInd w:val="0"/>
        <w:jc w:val="both"/>
        <w:rPr>
          <w:rFonts w:cs="LucidaSansUnicode"/>
          <w:kern w:val="0"/>
          <w:sz w:val="22"/>
          <w:szCs w:val="22"/>
          <w:lang w:val="es-CL"/>
        </w:rPr>
      </w:pPr>
      <w:r w:rsidRPr="006E1497">
        <w:rPr>
          <w:rFonts w:cs="LucidaSansUnicode"/>
          <w:kern w:val="0"/>
          <w:sz w:val="22"/>
          <w:szCs w:val="22"/>
          <w:lang w:val="es-CL"/>
        </w:rPr>
        <w:t>Organización del Taller Nacional sobre el GHS</w:t>
      </w:r>
    </w:p>
    <w:p w:rsidR="006E1497" w:rsidRPr="006E1497" w:rsidRDefault="006E1497" w:rsidP="00D4302C">
      <w:pPr>
        <w:pStyle w:val="ListParagraph"/>
        <w:numPr>
          <w:ilvl w:val="0"/>
          <w:numId w:val="38"/>
        </w:numPr>
        <w:autoSpaceDE w:val="0"/>
        <w:autoSpaceDN w:val="0"/>
        <w:adjustRightInd w:val="0"/>
        <w:jc w:val="both"/>
        <w:rPr>
          <w:rFonts w:cs="LucidaSansUnicode"/>
          <w:kern w:val="0"/>
          <w:sz w:val="22"/>
          <w:szCs w:val="22"/>
          <w:lang w:val="es-CL"/>
        </w:rPr>
      </w:pPr>
      <w:r w:rsidRPr="006E1497">
        <w:rPr>
          <w:rFonts w:cs="LucidaSansUnicode"/>
          <w:kern w:val="0"/>
          <w:sz w:val="22"/>
          <w:szCs w:val="22"/>
          <w:lang w:val="es-CL"/>
        </w:rPr>
        <w:t>Taller Nacional sobre el GHS</w:t>
      </w:r>
    </w:p>
    <w:p w:rsidR="006E1497" w:rsidRPr="006E1497" w:rsidRDefault="006E1497" w:rsidP="00606EAC">
      <w:pPr>
        <w:autoSpaceDE w:val="0"/>
        <w:autoSpaceDN w:val="0"/>
        <w:adjustRightInd w:val="0"/>
        <w:ind w:firstLine="142"/>
        <w:jc w:val="both"/>
        <w:rPr>
          <w:rFonts w:cs="LucidaSansUnicode"/>
          <w:b/>
          <w:kern w:val="0"/>
          <w:sz w:val="22"/>
          <w:szCs w:val="22"/>
          <w:u w:val="single"/>
          <w:lang w:val="es-CL"/>
        </w:rPr>
      </w:pPr>
      <w:r w:rsidRPr="006E1497">
        <w:rPr>
          <w:rFonts w:cs="LucidaSansUnicode"/>
          <w:b/>
          <w:kern w:val="0"/>
          <w:sz w:val="22"/>
          <w:szCs w:val="22"/>
          <w:u w:val="single"/>
          <w:lang w:val="es-CL"/>
        </w:rPr>
        <w:t>Durante 2012, 2013, 2014</w:t>
      </w:r>
    </w:p>
    <w:p w:rsidR="006E1497" w:rsidRPr="006E1497" w:rsidRDefault="006E1497" w:rsidP="00D4302C">
      <w:pPr>
        <w:pStyle w:val="ListParagraph"/>
        <w:numPr>
          <w:ilvl w:val="0"/>
          <w:numId w:val="39"/>
        </w:numPr>
        <w:autoSpaceDE w:val="0"/>
        <w:autoSpaceDN w:val="0"/>
        <w:adjustRightInd w:val="0"/>
        <w:jc w:val="both"/>
        <w:rPr>
          <w:rFonts w:cs="LucidaSansUnicode"/>
          <w:kern w:val="0"/>
          <w:sz w:val="22"/>
          <w:szCs w:val="22"/>
          <w:lang w:val="es-CL"/>
        </w:rPr>
      </w:pPr>
      <w:r w:rsidRPr="006E1497">
        <w:rPr>
          <w:rFonts w:cs="LucidaSansUnicode"/>
          <w:kern w:val="0"/>
          <w:sz w:val="22"/>
          <w:szCs w:val="22"/>
          <w:lang w:val="es-CL"/>
        </w:rPr>
        <w:t>Presentación de información sobre el Proyecto a nivel regional, incluso a través de la Secretaría del Mercosur y provisión de actualizaciones en las reuniones pertinentes del Mercosur</w:t>
      </w:r>
    </w:p>
    <w:p w:rsidR="006E1497" w:rsidRPr="006E1497" w:rsidRDefault="006E1497" w:rsidP="00D4302C">
      <w:pPr>
        <w:pStyle w:val="ListParagraph"/>
        <w:numPr>
          <w:ilvl w:val="0"/>
          <w:numId w:val="39"/>
        </w:numPr>
        <w:autoSpaceDE w:val="0"/>
        <w:autoSpaceDN w:val="0"/>
        <w:adjustRightInd w:val="0"/>
        <w:jc w:val="both"/>
        <w:rPr>
          <w:rFonts w:cs="LucidaSansUnicode"/>
          <w:kern w:val="0"/>
          <w:sz w:val="22"/>
          <w:szCs w:val="22"/>
          <w:lang w:val="es-CL"/>
        </w:rPr>
      </w:pPr>
      <w:r w:rsidRPr="006E1497">
        <w:rPr>
          <w:rFonts w:cs="LucidaSansUnicode"/>
          <w:kern w:val="0"/>
          <w:sz w:val="22"/>
          <w:szCs w:val="22"/>
          <w:lang w:val="es-CL"/>
        </w:rPr>
        <w:t>Provisión de informes sobre lecciones aprendidas al Subcomité de Expertos de la ONU sobre el GHS</w:t>
      </w:r>
    </w:p>
    <w:p w:rsidR="00654D8E" w:rsidRDefault="006E1497" w:rsidP="00606EAC">
      <w:pPr>
        <w:autoSpaceDE w:val="0"/>
        <w:autoSpaceDN w:val="0"/>
        <w:adjustRightInd w:val="0"/>
        <w:jc w:val="both"/>
        <w:rPr>
          <w:sz w:val="22"/>
          <w:szCs w:val="22"/>
          <w:lang w:val="es-CL"/>
        </w:rPr>
      </w:pPr>
      <w:r w:rsidRPr="006E1497">
        <w:rPr>
          <w:rFonts w:cs="LucidaSansUnicode"/>
          <w:kern w:val="0"/>
          <w:sz w:val="22"/>
          <w:szCs w:val="22"/>
          <w:lang w:val="es-CL"/>
        </w:rPr>
        <w:t xml:space="preserve">Bajo el marco de este plan de trabajo, se realizaron 3 jornadas </w:t>
      </w:r>
      <w:r w:rsidRPr="006E1497">
        <w:rPr>
          <w:sz w:val="22"/>
          <w:szCs w:val="22"/>
          <w:lang w:val="es-CL"/>
        </w:rPr>
        <w:t xml:space="preserve">de GHS: </w:t>
      </w:r>
    </w:p>
    <w:p w:rsidR="00654D8E" w:rsidRPr="00654D8E" w:rsidRDefault="006E1497" w:rsidP="00D4302C">
      <w:pPr>
        <w:pStyle w:val="ListParagraph"/>
        <w:numPr>
          <w:ilvl w:val="0"/>
          <w:numId w:val="40"/>
        </w:numPr>
        <w:autoSpaceDE w:val="0"/>
        <w:autoSpaceDN w:val="0"/>
        <w:adjustRightInd w:val="0"/>
        <w:jc w:val="both"/>
        <w:rPr>
          <w:sz w:val="22"/>
          <w:szCs w:val="22"/>
          <w:lang w:val="es-CL"/>
        </w:rPr>
      </w:pPr>
      <w:r w:rsidRPr="00654D8E">
        <w:rPr>
          <w:sz w:val="22"/>
          <w:szCs w:val="22"/>
          <w:lang w:val="es-CL"/>
        </w:rPr>
        <w:t>R</w:t>
      </w:r>
      <w:r w:rsidR="00654D8E" w:rsidRPr="00654D8E">
        <w:rPr>
          <w:sz w:val="22"/>
          <w:szCs w:val="22"/>
          <w:lang w:val="es-CL"/>
        </w:rPr>
        <w:t>eunión de coordinación</w:t>
      </w:r>
    </w:p>
    <w:p w:rsidR="00654D8E" w:rsidRPr="00654D8E" w:rsidRDefault="006E1497" w:rsidP="00D4302C">
      <w:pPr>
        <w:pStyle w:val="ListParagraph"/>
        <w:numPr>
          <w:ilvl w:val="0"/>
          <w:numId w:val="40"/>
        </w:numPr>
        <w:autoSpaceDE w:val="0"/>
        <w:autoSpaceDN w:val="0"/>
        <w:adjustRightInd w:val="0"/>
        <w:jc w:val="both"/>
        <w:rPr>
          <w:sz w:val="22"/>
          <w:szCs w:val="22"/>
          <w:lang w:val="es-CL"/>
        </w:rPr>
      </w:pPr>
      <w:r w:rsidRPr="00654D8E">
        <w:rPr>
          <w:sz w:val="22"/>
          <w:szCs w:val="22"/>
          <w:lang w:val="es-CL"/>
        </w:rPr>
        <w:t>Taller de Introducci</w:t>
      </w:r>
      <w:r w:rsidR="00654D8E" w:rsidRPr="00654D8E">
        <w:rPr>
          <w:sz w:val="22"/>
          <w:szCs w:val="22"/>
          <w:lang w:val="es-CL"/>
        </w:rPr>
        <w:t>ón y Planificación del GHS</w:t>
      </w:r>
    </w:p>
    <w:p w:rsidR="00654D8E" w:rsidRPr="00654D8E" w:rsidRDefault="00654D8E" w:rsidP="00D4302C">
      <w:pPr>
        <w:pStyle w:val="ListParagraph"/>
        <w:numPr>
          <w:ilvl w:val="0"/>
          <w:numId w:val="40"/>
        </w:numPr>
        <w:autoSpaceDE w:val="0"/>
        <w:autoSpaceDN w:val="0"/>
        <w:adjustRightInd w:val="0"/>
        <w:jc w:val="both"/>
        <w:rPr>
          <w:sz w:val="22"/>
          <w:szCs w:val="22"/>
          <w:lang w:val="es-CL"/>
        </w:rPr>
      </w:pPr>
      <w:r w:rsidRPr="00654D8E">
        <w:rPr>
          <w:sz w:val="22"/>
          <w:szCs w:val="22"/>
          <w:lang w:val="es-CL"/>
        </w:rPr>
        <w:t>C</w:t>
      </w:r>
      <w:r w:rsidR="006E1497" w:rsidRPr="00654D8E">
        <w:rPr>
          <w:sz w:val="22"/>
          <w:szCs w:val="22"/>
          <w:lang w:val="es-CL"/>
        </w:rPr>
        <w:t xml:space="preserve">apacitación más específica para los miembros del Comité Coordinador con la participación de todos los sectores involucrados (Público, Privado, ONG) y la presencia de representantes de UNITAR.  </w:t>
      </w:r>
    </w:p>
    <w:p w:rsidR="006E1497" w:rsidRPr="006E1497" w:rsidRDefault="006E1497" w:rsidP="00606EAC">
      <w:pPr>
        <w:autoSpaceDE w:val="0"/>
        <w:autoSpaceDN w:val="0"/>
        <w:adjustRightInd w:val="0"/>
        <w:jc w:val="both"/>
        <w:rPr>
          <w:sz w:val="22"/>
          <w:szCs w:val="22"/>
          <w:lang w:val="es-CL"/>
        </w:rPr>
      </w:pPr>
      <w:r w:rsidRPr="006E1497">
        <w:rPr>
          <w:sz w:val="22"/>
          <w:szCs w:val="22"/>
          <w:lang w:val="es-CL"/>
        </w:rPr>
        <w:t>En el año 2013 se terminó la elaboración de la página Web del GHS en Chile (</w:t>
      </w:r>
      <w:hyperlink r:id="rId21" w:history="1">
        <w:r w:rsidRPr="002D0393">
          <w:rPr>
            <w:rStyle w:val="Hyperlink"/>
            <w:color w:val="0070C0"/>
            <w:sz w:val="22"/>
            <w:szCs w:val="22"/>
            <w:lang w:val="es-CL"/>
          </w:rPr>
          <w:t>www.ghs-chile.cl</w:t>
        </w:r>
      </w:hyperlink>
      <w:r w:rsidRPr="006E1497">
        <w:rPr>
          <w:sz w:val="22"/>
          <w:szCs w:val="22"/>
          <w:lang w:val="es-CL"/>
        </w:rPr>
        <w:t xml:space="preserve">) y se llevaron a cabo Jornadas de Talleres de Capacitación Básico y Avanzado de GHS dirigido </w:t>
      </w:r>
      <w:r w:rsidR="004869A7">
        <w:rPr>
          <w:sz w:val="22"/>
          <w:szCs w:val="22"/>
          <w:lang w:val="es-CL"/>
        </w:rPr>
        <w:t>a Instituciones Públicas</w:t>
      </w:r>
      <w:r w:rsidRPr="006E1497">
        <w:rPr>
          <w:sz w:val="22"/>
          <w:szCs w:val="22"/>
          <w:lang w:val="es-CL"/>
        </w:rPr>
        <w:t xml:space="preserve"> e Industria y Trabajadores con participación de experto de UNITAR</w:t>
      </w:r>
      <w:r w:rsidR="004869A7">
        <w:rPr>
          <w:sz w:val="22"/>
          <w:szCs w:val="22"/>
          <w:lang w:val="es-CL"/>
        </w:rPr>
        <w:t>,</w:t>
      </w:r>
      <w:r w:rsidRPr="006E1497">
        <w:rPr>
          <w:sz w:val="22"/>
          <w:szCs w:val="22"/>
          <w:lang w:val="es-CL"/>
        </w:rPr>
        <w:t xml:space="preserve"> desarrolladas con el fin de entregar capacidades básicas y avanzadas de información y reconocer al GHS como una contribución para que las instituciones involucradas en la gestión de sustancias químicas peligrosas se encuentren preparadas para el cambio en el sistema de clasificación que supondrá la aplicación del GHS.</w:t>
      </w:r>
      <w:r w:rsidR="00654D8E">
        <w:rPr>
          <w:sz w:val="22"/>
          <w:szCs w:val="22"/>
          <w:lang w:val="es-CL"/>
        </w:rPr>
        <w:t xml:space="preserve"> De acuerdo a los antecedentes disponibles, 175 representantes del sector público y privado</w:t>
      </w:r>
      <w:r w:rsidR="008F063A">
        <w:rPr>
          <w:sz w:val="22"/>
          <w:szCs w:val="22"/>
          <w:lang w:val="es-CL"/>
        </w:rPr>
        <w:t xml:space="preserve"> han asistido a capacitación</w:t>
      </w:r>
      <w:r w:rsidR="00654D8E">
        <w:rPr>
          <w:sz w:val="22"/>
          <w:szCs w:val="22"/>
          <w:lang w:val="es-CL"/>
        </w:rPr>
        <w:t>.</w:t>
      </w:r>
    </w:p>
    <w:p w:rsidR="006E1497" w:rsidRPr="006E1497" w:rsidRDefault="00F008E6" w:rsidP="00606EAC">
      <w:pPr>
        <w:spacing w:after="0" w:line="240" w:lineRule="auto"/>
        <w:jc w:val="center"/>
        <w:rPr>
          <w:sz w:val="22"/>
          <w:szCs w:val="22"/>
          <w:lang w:val="es-CL"/>
        </w:rPr>
      </w:pPr>
      <w:r>
        <w:rPr>
          <w:b/>
          <w:sz w:val="22"/>
          <w:szCs w:val="22"/>
          <w:lang w:val="es-CL"/>
        </w:rPr>
        <w:t>Tabla 4:</w:t>
      </w:r>
      <w:r w:rsidR="006E1497" w:rsidRPr="006E1497">
        <w:rPr>
          <w:b/>
          <w:sz w:val="22"/>
          <w:szCs w:val="22"/>
          <w:lang w:val="es-CL"/>
        </w:rPr>
        <w:t xml:space="preserve"> Jornadas de Talleres de Capacitación realizados a la fecha</w:t>
      </w:r>
    </w:p>
    <w:tbl>
      <w:tblPr>
        <w:tblStyle w:val="Listaclara-nfasis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355"/>
        <w:gridCol w:w="4957"/>
      </w:tblGrid>
      <w:tr w:rsidR="006E1497" w:rsidRPr="00654D8E" w:rsidTr="003D73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2" w:type="pct"/>
          </w:tcPr>
          <w:p w:rsidR="006E1497" w:rsidRPr="00654D8E" w:rsidRDefault="006E1497" w:rsidP="00606EAC">
            <w:pPr>
              <w:autoSpaceDE w:val="0"/>
              <w:autoSpaceDN w:val="0"/>
              <w:adjustRightInd w:val="0"/>
              <w:contextualSpacing/>
              <w:jc w:val="center"/>
              <w:rPr>
                <w:rFonts w:asciiTheme="minorHAnsi" w:hAnsiTheme="minorHAnsi"/>
                <w:b w:val="0"/>
                <w:sz w:val="22"/>
                <w:szCs w:val="22"/>
                <w:lang w:val="es-CL"/>
              </w:rPr>
            </w:pPr>
            <w:r w:rsidRPr="00654D8E">
              <w:rPr>
                <w:rFonts w:asciiTheme="minorHAnsi" w:hAnsiTheme="minorHAnsi"/>
                <w:sz w:val="22"/>
                <w:szCs w:val="22"/>
                <w:lang w:val="es-CL"/>
              </w:rPr>
              <w:t>Curso</w:t>
            </w:r>
          </w:p>
        </w:tc>
        <w:tc>
          <w:tcPr>
            <w:tcW w:w="1188" w:type="pct"/>
          </w:tcPr>
          <w:p w:rsidR="006E1497" w:rsidRPr="00654D8E" w:rsidRDefault="006E1497" w:rsidP="00606EAC">
            <w:pPr>
              <w:autoSpaceDE w:val="0"/>
              <w:autoSpaceDN w:val="0"/>
              <w:adjustRightInd w:val="0"/>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22"/>
                <w:szCs w:val="22"/>
                <w:lang w:val="es-CL"/>
              </w:rPr>
            </w:pPr>
            <w:r w:rsidRPr="00654D8E">
              <w:rPr>
                <w:rFonts w:asciiTheme="minorHAnsi" w:hAnsiTheme="minorHAnsi"/>
                <w:sz w:val="22"/>
                <w:szCs w:val="22"/>
                <w:lang w:val="es-CL"/>
              </w:rPr>
              <w:t>Fecha</w:t>
            </w:r>
          </w:p>
        </w:tc>
        <w:tc>
          <w:tcPr>
            <w:tcW w:w="2500" w:type="pct"/>
          </w:tcPr>
          <w:p w:rsidR="006E1497" w:rsidRPr="00654D8E" w:rsidRDefault="006E1497" w:rsidP="00606EAC">
            <w:pPr>
              <w:autoSpaceDE w:val="0"/>
              <w:autoSpaceDN w:val="0"/>
              <w:adjustRightInd w:val="0"/>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22"/>
                <w:szCs w:val="22"/>
                <w:lang w:val="es-CL"/>
              </w:rPr>
            </w:pPr>
            <w:r w:rsidRPr="00654D8E">
              <w:rPr>
                <w:rFonts w:asciiTheme="minorHAnsi" w:hAnsiTheme="minorHAnsi"/>
                <w:sz w:val="22"/>
                <w:szCs w:val="22"/>
                <w:lang w:val="es-CL"/>
              </w:rPr>
              <w:t>Asistentes</w:t>
            </w:r>
          </w:p>
        </w:tc>
      </w:tr>
      <w:tr w:rsidR="006E1497" w:rsidRPr="00654D8E" w:rsidTr="003D73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2" w:type="pct"/>
            <w:tcBorders>
              <w:top w:val="none" w:sz="0" w:space="0" w:color="auto"/>
              <w:left w:val="none" w:sz="0" w:space="0" w:color="auto"/>
              <w:bottom w:val="none" w:sz="0" w:space="0" w:color="auto"/>
            </w:tcBorders>
            <w:vAlign w:val="center"/>
          </w:tcPr>
          <w:p w:rsidR="006E1497" w:rsidRPr="00654D8E" w:rsidRDefault="006E1497" w:rsidP="00F276EB">
            <w:pPr>
              <w:autoSpaceDE w:val="0"/>
              <w:autoSpaceDN w:val="0"/>
              <w:adjustRightInd w:val="0"/>
              <w:contextualSpacing/>
              <w:jc w:val="left"/>
              <w:rPr>
                <w:rFonts w:asciiTheme="minorHAnsi" w:hAnsiTheme="minorHAnsi"/>
                <w:sz w:val="22"/>
                <w:szCs w:val="22"/>
                <w:lang w:val="es-CL"/>
              </w:rPr>
            </w:pPr>
            <w:r w:rsidRPr="00654D8E">
              <w:rPr>
                <w:rFonts w:asciiTheme="minorHAnsi" w:hAnsiTheme="minorHAnsi"/>
                <w:sz w:val="22"/>
                <w:szCs w:val="22"/>
                <w:lang w:val="es-CL"/>
              </w:rPr>
              <w:t>Básico Instituciones Publicas</w:t>
            </w:r>
          </w:p>
        </w:tc>
        <w:tc>
          <w:tcPr>
            <w:tcW w:w="1188" w:type="pct"/>
            <w:tcBorders>
              <w:top w:val="none" w:sz="0" w:space="0" w:color="auto"/>
              <w:bottom w:val="none" w:sz="0" w:space="0" w:color="auto"/>
            </w:tcBorders>
            <w:vAlign w:val="center"/>
          </w:tcPr>
          <w:p w:rsidR="006E1497" w:rsidRPr="00654D8E" w:rsidRDefault="006E1497" w:rsidP="00F276EB">
            <w:pPr>
              <w:autoSpaceDE w:val="0"/>
              <w:autoSpaceDN w:val="0"/>
              <w:adjustRightInd w:val="0"/>
              <w:contextualSpacing/>
              <w:jc w:val="left"/>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sidRPr="00654D8E">
              <w:rPr>
                <w:rFonts w:asciiTheme="minorHAnsi" w:hAnsiTheme="minorHAnsi"/>
                <w:sz w:val="22"/>
                <w:szCs w:val="22"/>
                <w:lang w:val="es-CL"/>
              </w:rPr>
              <w:t>30-Julio-2013, Santiago</w:t>
            </w:r>
          </w:p>
        </w:tc>
        <w:tc>
          <w:tcPr>
            <w:tcW w:w="2500" w:type="pct"/>
            <w:tcBorders>
              <w:top w:val="none" w:sz="0" w:space="0" w:color="auto"/>
              <w:bottom w:val="none" w:sz="0" w:space="0" w:color="auto"/>
              <w:right w:val="none" w:sz="0" w:space="0" w:color="auto"/>
            </w:tcBorders>
          </w:tcPr>
          <w:p w:rsidR="006E1497" w:rsidRPr="00654D8E" w:rsidRDefault="006E1497" w:rsidP="00606EAC">
            <w:pPr>
              <w:autoSpaceDE w:val="0"/>
              <w:autoSpaceDN w:val="0"/>
              <w:adjustRightInd w:val="0"/>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sidRPr="00654D8E">
              <w:rPr>
                <w:rFonts w:asciiTheme="minorHAnsi" w:hAnsiTheme="minorHAnsi"/>
                <w:sz w:val="22"/>
                <w:szCs w:val="22"/>
                <w:lang w:val="es-CL"/>
              </w:rPr>
              <w:t>21 representantes de Instituciones públicas, entre ellas: Dirección General de Relaciones Económicas Internacionales, Dirección General de Aeronáutica Civil, Instituto de Salud Pública de Chile, Instituto Nacional de Normalización y la Secretaría Regional Ministerial de Salud RM.</w:t>
            </w:r>
          </w:p>
        </w:tc>
      </w:tr>
      <w:tr w:rsidR="006E1497" w:rsidRPr="00654D8E" w:rsidTr="003D7362">
        <w:tc>
          <w:tcPr>
            <w:cnfStyle w:val="001000000000" w:firstRow="0" w:lastRow="0" w:firstColumn="1" w:lastColumn="0" w:oddVBand="0" w:evenVBand="0" w:oddHBand="0" w:evenHBand="0" w:firstRowFirstColumn="0" w:firstRowLastColumn="0" w:lastRowFirstColumn="0" w:lastRowLastColumn="0"/>
            <w:tcW w:w="1312" w:type="pct"/>
            <w:vAlign w:val="center"/>
          </w:tcPr>
          <w:p w:rsidR="006E1497" w:rsidRPr="00654D8E" w:rsidRDefault="006E1497" w:rsidP="00F276EB">
            <w:pPr>
              <w:autoSpaceDE w:val="0"/>
              <w:autoSpaceDN w:val="0"/>
              <w:adjustRightInd w:val="0"/>
              <w:contextualSpacing/>
              <w:jc w:val="left"/>
              <w:rPr>
                <w:rFonts w:asciiTheme="minorHAnsi" w:hAnsiTheme="minorHAnsi"/>
                <w:sz w:val="22"/>
                <w:szCs w:val="22"/>
                <w:lang w:val="es-CL"/>
              </w:rPr>
            </w:pPr>
            <w:r w:rsidRPr="00654D8E">
              <w:rPr>
                <w:rFonts w:asciiTheme="minorHAnsi" w:hAnsiTheme="minorHAnsi"/>
                <w:sz w:val="22"/>
                <w:szCs w:val="22"/>
                <w:lang w:val="es-CL"/>
              </w:rPr>
              <w:t>Básico Trabajadores</w:t>
            </w:r>
          </w:p>
        </w:tc>
        <w:tc>
          <w:tcPr>
            <w:tcW w:w="1188" w:type="pct"/>
            <w:vAlign w:val="center"/>
          </w:tcPr>
          <w:p w:rsidR="006E1497" w:rsidRPr="00654D8E" w:rsidRDefault="006E1497" w:rsidP="00F276EB">
            <w:pPr>
              <w:autoSpaceDE w:val="0"/>
              <w:autoSpaceDN w:val="0"/>
              <w:adjustRightInd w:val="0"/>
              <w:contextualSpacing/>
              <w:jc w:val="lef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s-CL"/>
              </w:rPr>
            </w:pPr>
            <w:r w:rsidRPr="00654D8E">
              <w:rPr>
                <w:rFonts w:asciiTheme="minorHAnsi" w:hAnsiTheme="minorHAnsi"/>
                <w:sz w:val="22"/>
                <w:szCs w:val="22"/>
                <w:lang w:val="es-CL"/>
              </w:rPr>
              <w:t>06-Agosto-2013, Santiago</w:t>
            </w:r>
          </w:p>
        </w:tc>
        <w:tc>
          <w:tcPr>
            <w:tcW w:w="2500" w:type="pct"/>
          </w:tcPr>
          <w:p w:rsidR="006E1497" w:rsidRPr="00654D8E" w:rsidRDefault="006E1497" w:rsidP="00606EAC">
            <w:pPr>
              <w:autoSpaceDE w:val="0"/>
              <w:autoSpaceDN w:val="0"/>
              <w:adjustRightInd w:val="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s-CL"/>
              </w:rPr>
            </w:pPr>
            <w:r w:rsidRPr="00654D8E">
              <w:rPr>
                <w:rFonts w:asciiTheme="minorHAnsi" w:hAnsiTheme="minorHAnsi"/>
                <w:sz w:val="22"/>
                <w:szCs w:val="22"/>
                <w:lang w:val="es-CL"/>
              </w:rPr>
              <w:t>29 representantes de distintas empresas del sector Industrial</w:t>
            </w:r>
          </w:p>
        </w:tc>
      </w:tr>
      <w:tr w:rsidR="006E1497" w:rsidRPr="00654D8E" w:rsidTr="003D73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2" w:type="pct"/>
            <w:tcBorders>
              <w:top w:val="none" w:sz="0" w:space="0" w:color="auto"/>
              <w:left w:val="none" w:sz="0" w:space="0" w:color="auto"/>
              <w:bottom w:val="none" w:sz="0" w:space="0" w:color="auto"/>
            </w:tcBorders>
            <w:vAlign w:val="center"/>
          </w:tcPr>
          <w:p w:rsidR="006E1497" w:rsidRPr="00654D8E" w:rsidRDefault="006E1497" w:rsidP="00F276EB">
            <w:pPr>
              <w:autoSpaceDE w:val="0"/>
              <w:autoSpaceDN w:val="0"/>
              <w:adjustRightInd w:val="0"/>
              <w:contextualSpacing/>
              <w:jc w:val="left"/>
              <w:rPr>
                <w:rFonts w:asciiTheme="minorHAnsi" w:hAnsiTheme="minorHAnsi"/>
                <w:sz w:val="22"/>
                <w:szCs w:val="22"/>
                <w:lang w:val="es-CL"/>
              </w:rPr>
            </w:pPr>
            <w:r w:rsidRPr="00654D8E">
              <w:rPr>
                <w:rFonts w:asciiTheme="minorHAnsi" w:hAnsiTheme="minorHAnsi"/>
                <w:sz w:val="22"/>
                <w:szCs w:val="22"/>
                <w:lang w:val="es-CL"/>
              </w:rPr>
              <w:t>Básico Comunidad</w:t>
            </w:r>
          </w:p>
        </w:tc>
        <w:tc>
          <w:tcPr>
            <w:tcW w:w="1188" w:type="pct"/>
            <w:tcBorders>
              <w:top w:val="none" w:sz="0" w:space="0" w:color="auto"/>
              <w:bottom w:val="none" w:sz="0" w:space="0" w:color="auto"/>
            </w:tcBorders>
            <w:vAlign w:val="center"/>
          </w:tcPr>
          <w:p w:rsidR="006E1497" w:rsidRPr="00654D8E" w:rsidRDefault="006E1497" w:rsidP="00F276EB">
            <w:pPr>
              <w:autoSpaceDE w:val="0"/>
              <w:autoSpaceDN w:val="0"/>
              <w:adjustRightInd w:val="0"/>
              <w:contextualSpacing/>
              <w:jc w:val="left"/>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sidRPr="00654D8E">
              <w:rPr>
                <w:rFonts w:asciiTheme="minorHAnsi" w:hAnsiTheme="minorHAnsi"/>
                <w:sz w:val="22"/>
                <w:szCs w:val="22"/>
                <w:lang w:val="es-CL"/>
              </w:rPr>
              <w:t>12-Agosto-2013</w:t>
            </w:r>
          </w:p>
        </w:tc>
        <w:tc>
          <w:tcPr>
            <w:tcW w:w="2500" w:type="pct"/>
            <w:tcBorders>
              <w:top w:val="none" w:sz="0" w:space="0" w:color="auto"/>
              <w:bottom w:val="none" w:sz="0" w:space="0" w:color="auto"/>
              <w:right w:val="none" w:sz="0" w:space="0" w:color="auto"/>
            </w:tcBorders>
          </w:tcPr>
          <w:p w:rsidR="006E1497" w:rsidRPr="00654D8E" w:rsidRDefault="006E1497" w:rsidP="00DD0209">
            <w:pPr>
              <w:autoSpaceDE w:val="0"/>
              <w:autoSpaceDN w:val="0"/>
              <w:adjustRightInd w:val="0"/>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sidRPr="00654D8E">
              <w:rPr>
                <w:rFonts w:asciiTheme="minorHAnsi" w:hAnsiTheme="minorHAnsi"/>
                <w:sz w:val="22"/>
                <w:szCs w:val="22"/>
                <w:lang w:val="es-CL"/>
              </w:rPr>
              <w:t>Suspendido y reprogramado para el día 26-Sept fecha en que fue cancelado por bajo interés en participar de</w:t>
            </w:r>
            <w:r w:rsidR="00DD0209">
              <w:rPr>
                <w:rFonts w:asciiTheme="minorHAnsi" w:hAnsiTheme="minorHAnsi"/>
                <w:sz w:val="22"/>
                <w:szCs w:val="22"/>
                <w:lang w:val="es-CL"/>
              </w:rPr>
              <w:t xml:space="preserve"> la sociedad civil</w:t>
            </w:r>
          </w:p>
        </w:tc>
      </w:tr>
      <w:tr w:rsidR="006E1497" w:rsidRPr="00654D8E" w:rsidTr="003D7362">
        <w:tc>
          <w:tcPr>
            <w:cnfStyle w:val="001000000000" w:firstRow="0" w:lastRow="0" w:firstColumn="1" w:lastColumn="0" w:oddVBand="0" w:evenVBand="0" w:oddHBand="0" w:evenHBand="0" w:firstRowFirstColumn="0" w:firstRowLastColumn="0" w:lastRowFirstColumn="0" w:lastRowLastColumn="0"/>
            <w:tcW w:w="1312" w:type="pct"/>
            <w:vAlign w:val="center"/>
          </w:tcPr>
          <w:p w:rsidR="006E1497" w:rsidRPr="00654D8E" w:rsidRDefault="006E1497" w:rsidP="00F276EB">
            <w:pPr>
              <w:autoSpaceDE w:val="0"/>
              <w:autoSpaceDN w:val="0"/>
              <w:adjustRightInd w:val="0"/>
              <w:contextualSpacing/>
              <w:jc w:val="left"/>
              <w:rPr>
                <w:rFonts w:asciiTheme="minorHAnsi" w:hAnsiTheme="minorHAnsi"/>
                <w:sz w:val="22"/>
                <w:szCs w:val="22"/>
                <w:lang w:val="es-CL"/>
              </w:rPr>
            </w:pPr>
            <w:r w:rsidRPr="00654D8E">
              <w:rPr>
                <w:rFonts w:asciiTheme="minorHAnsi" w:hAnsiTheme="minorHAnsi"/>
                <w:sz w:val="22"/>
                <w:szCs w:val="22"/>
                <w:lang w:val="es-CL"/>
              </w:rPr>
              <w:t>Avanzado Instituciones Públicas e Industria</w:t>
            </w:r>
          </w:p>
        </w:tc>
        <w:tc>
          <w:tcPr>
            <w:tcW w:w="1188" w:type="pct"/>
            <w:vAlign w:val="center"/>
          </w:tcPr>
          <w:p w:rsidR="006E1497" w:rsidRPr="00654D8E" w:rsidRDefault="006E1497" w:rsidP="00F276EB">
            <w:pPr>
              <w:autoSpaceDE w:val="0"/>
              <w:autoSpaceDN w:val="0"/>
              <w:adjustRightInd w:val="0"/>
              <w:contextualSpacing/>
              <w:jc w:val="lef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s-CL"/>
              </w:rPr>
            </w:pPr>
            <w:r w:rsidRPr="00654D8E">
              <w:rPr>
                <w:rFonts w:asciiTheme="minorHAnsi" w:hAnsiTheme="minorHAnsi"/>
                <w:sz w:val="22"/>
                <w:szCs w:val="22"/>
                <w:lang w:val="es-CL"/>
              </w:rPr>
              <w:t>20-Agosto- 2013</w:t>
            </w:r>
          </w:p>
        </w:tc>
        <w:tc>
          <w:tcPr>
            <w:tcW w:w="2500" w:type="pct"/>
          </w:tcPr>
          <w:p w:rsidR="006E1497" w:rsidRPr="00654D8E" w:rsidRDefault="006E1497" w:rsidP="00606EAC">
            <w:pPr>
              <w:autoSpaceDE w:val="0"/>
              <w:autoSpaceDN w:val="0"/>
              <w:adjustRightInd w:val="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s-CL"/>
              </w:rPr>
            </w:pPr>
            <w:r w:rsidRPr="00654D8E">
              <w:rPr>
                <w:rFonts w:asciiTheme="minorHAnsi" w:hAnsiTheme="minorHAnsi"/>
                <w:sz w:val="22"/>
                <w:szCs w:val="22"/>
                <w:lang w:val="es-CL"/>
              </w:rPr>
              <w:t>51 representantes de Instituciones Públicas y distintas empresas del sector Industrial</w:t>
            </w:r>
          </w:p>
        </w:tc>
      </w:tr>
      <w:tr w:rsidR="006E1497" w:rsidRPr="00654D8E" w:rsidTr="003D73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2" w:type="pct"/>
            <w:tcBorders>
              <w:top w:val="none" w:sz="0" w:space="0" w:color="auto"/>
              <w:left w:val="none" w:sz="0" w:space="0" w:color="auto"/>
              <w:bottom w:val="none" w:sz="0" w:space="0" w:color="auto"/>
            </w:tcBorders>
            <w:vAlign w:val="center"/>
          </w:tcPr>
          <w:p w:rsidR="006E1497" w:rsidRPr="00654D8E" w:rsidRDefault="006E1497" w:rsidP="00F276EB">
            <w:pPr>
              <w:autoSpaceDE w:val="0"/>
              <w:autoSpaceDN w:val="0"/>
              <w:adjustRightInd w:val="0"/>
              <w:contextualSpacing/>
              <w:jc w:val="left"/>
              <w:rPr>
                <w:rFonts w:asciiTheme="minorHAnsi" w:hAnsiTheme="minorHAnsi"/>
                <w:sz w:val="22"/>
                <w:szCs w:val="22"/>
                <w:lang w:val="es-CL"/>
              </w:rPr>
            </w:pPr>
            <w:r w:rsidRPr="00654D8E">
              <w:rPr>
                <w:rFonts w:asciiTheme="minorHAnsi" w:hAnsiTheme="minorHAnsi"/>
                <w:sz w:val="22"/>
                <w:szCs w:val="22"/>
                <w:lang w:val="es-CL"/>
              </w:rPr>
              <w:t>Básico Industria Zona Sur</w:t>
            </w:r>
          </w:p>
        </w:tc>
        <w:tc>
          <w:tcPr>
            <w:tcW w:w="1188" w:type="pct"/>
            <w:tcBorders>
              <w:top w:val="none" w:sz="0" w:space="0" w:color="auto"/>
              <w:bottom w:val="none" w:sz="0" w:space="0" w:color="auto"/>
            </w:tcBorders>
            <w:vAlign w:val="center"/>
          </w:tcPr>
          <w:p w:rsidR="006E1497" w:rsidRPr="00654D8E" w:rsidRDefault="006E1497" w:rsidP="00F276EB">
            <w:pPr>
              <w:autoSpaceDE w:val="0"/>
              <w:autoSpaceDN w:val="0"/>
              <w:adjustRightInd w:val="0"/>
              <w:contextualSpacing/>
              <w:jc w:val="left"/>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sidRPr="00654D8E">
              <w:rPr>
                <w:rFonts w:asciiTheme="minorHAnsi" w:hAnsiTheme="minorHAnsi"/>
                <w:sz w:val="22"/>
                <w:szCs w:val="22"/>
                <w:lang w:val="es-CL"/>
              </w:rPr>
              <w:t>27-Agosto-2013, Concepción</w:t>
            </w:r>
          </w:p>
        </w:tc>
        <w:tc>
          <w:tcPr>
            <w:tcW w:w="2500" w:type="pct"/>
            <w:tcBorders>
              <w:top w:val="none" w:sz="0" w:space="0" w:color="auto"/>
              <w:bottom w:val="none" w:sz="0" w:space="0" w:color="auto"/>
              <w:right w:val="none" w:sz="0" w:space="0" w:color="auto"/>
            </w:tcBorders>
          </w:tcPr>
          <w:p w:rsidR="006E1497" w:rsidRPr="00654D8E" w:rsidRDefault="006E1497" w:rsidP="00606EAC">
            <w:pPr>
              <w:autoSpaceDE w:val="0"/>
              <w:autoSpaceDN w:val="0"/>
              <w:adjustRightInd w:val="0"/>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sidRPr="00654D8E">
              <w:rPr>
                <w:rFonts w:asciiTheme="minorHAnsi" w:hAnsiTheme="minorHAnsi"/>
                <w:sz w:val="22"/>
                <w:szCs w:val="22"/>
                <w:lang w:val="es-CL"/>
              </w:rPr>
              <w:t>18 representantes de la industria local</w:t>
            </w:r>
          </w:p>
        </w:tc>
      </w:tr>
      <w:tr w:rsidR="006E1497" w:rsidRPr="00654D8E" w:rsidTr="003D7362">
        <w:tc>
          <w:tcPr>
            <w:cnfStyle w:val="001000000000" w:firstRow="0" w:lastRow="0" w:firstColumn="1" w:lastColumn="0" w:oddVBand="0" w:evenVBand="0" w:oddHBand="0" w:evenHBand="0" w:firstRowFirstColumn="0" w:firstRowLastColumn="0" w:lastRowFirstColumn="0" w:lastRowLastColumn="0"/>
            <w:tcW w:w="1312" w:type="pct"/>
            <w:vAlign w:val="center"/>
          </w:tcPr>
          <w:p w:rsidR="006E1497" w:rsidRPr="00654D8E" w:rsidRDefault="006E1497" w:rsidP="00F276EB">
            <w:pPr>
              <w:autoSpaceDE w:val="0"/>
              <w:autoSpaceDN w:val="0"/>
              <w:adjustRightInd w:val="0"/>
              <w:contextualSpacing/>
              <w:jc w:val="left"/>
              <w:rPr>
                <w:rFonts w:asciiTheme="minorHAnsi" w:hAnsiTheme="minorHAnsi"/>
                <w:sz w:val="22"/>
                <w:szCs w:val="22"/>
                <w:lang w:val="es-CL"/>
              </w:rPr>
            </w:pPr>
            <w:r w:rsidRPr="00654D8E">
              <w:rPr>
                <w:rFonts w:asciiTheme="minorHAnsi" w:hAnsiTheme="minorHAnsi"/>
                <w:sz w:val="22"/>
                <w:szCs w:val="22"/>
                <w:lang w:val="es-CL"/>
              </w:rPr>
              <w:t>Básico Industria Zona Norte</w:t>
            </w:r>
          </w:p>
        </w:tc>
        <w:tc>
          <w:tcPr>
            <w:tcW w:w="1188" w:type="pct"/>
            <w:vAlign w:val="center"/>
          </w:tcPr>
          <w:p w:rsidR="006E1497" w:rsidRPr="00654D8E" w:rsidRDefault="006E1497" w:rsidP="00F276EB">
            <w:pPr>
              <w:autoSpaceDE w:val="0"/>
              <w:autoSpaceDN w:val="0"/>
              <w:adjustRightInd w:val="0"/>
              <w:contextualSpacing/>
              <w:jc w:val="lef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s-CL"/>
              </w:rPr>
            </w:pPr>
            <w:r w:rsidRPr="00654D8E">
              <w:rPr>
                <w:rFonts w:asciiTheme="minorHAnsi" w:hAnsiTheme="minorHAnsi"/>
                <w:sz w:val="22"/>
                <w:szCs w:val="22"/>
                <w:lang w:val="es-CL"/>
              </w:rPr>
              <w:t xml:space="preserve">10-Sept-2013, Antofagasta, </w:t>
            </w:r>
          </w:p>
        </w:tc>
        <w:tc>
          <w:tcPr>
            <w:tcW w:w="2500" w:type="pct"/>
          </w:tcPr>
          <w:p w:rsidR="006E1497" w:rsidRPr="00654D8E" w:rsidRDefault="006E1497" w:rsidP="00606EAC">
            <w:pPr>
              <w:autoSpaceDE w:val="0"/>
              <w:autoSpaceDN w:val="0"/>
              <w:adjustRightInd w:val="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s-CL"/>
              </w:rPr>
            </w:pPr>
            <w:r w:rsidRPr="00654D8E">
              <w:rPr>
                <w:rFonts w:asciiTheme="minorHAnsi" w:hAnsiTheme="minorHAnsi"/>
                <w:sz w:val="22"/>
                <w:szCs w:val="22"/>
                <w:lang w:val="es-CL"/>
              </w:rPr>
              <w:t>12 representantes de la industria local</w:t>
            </w:r>
          </w:p>
        </w:tc>
      </w:tr>
      <w:tr w:rsidR="006E1497" w:rsidRPr="00654D8E" w:rsidTr="003D73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2" w:type="pct"/>
            <w:tcBorders>
              <w:top w:val="none" w:sz="0" w:space="0" w:color="auto"/>
              <w:left w:val="none" w:sz="0" w:space="0" w:color="auto"/>
              <w:bottom w:val="none" w:sz="0" w:space="0" w:color="auto"/>
            </w:tcBorders>
            <w:vAlign w:val="center"/>
          </w:tcPr>
          <w:p w:rsidR="006E1497" w:rsidRPr="00654D8E" w:rsidRDefault="006E1497" w:rsidP="00F276EB">
            <w:pPr>
              <w:autoSpaceDE w:val="0"/>
              <w:autoSpaceDN w:val="0"/>
              <w:adjustRightInd w:val="0"/>
              <w:contextualSpacing/>
              <w:jc w:val="left"/>
              <w:rPr>
                <w:rFonts w:asciiTheme="minorHAnsi" w:hAnsiTheme="minorHAnsi"/>
                <w:sz w:val="22"/>
                <w:szCs w:val="22"/>
                <w:lang w:val="es-CL"/>
              </w:rPr>
            </w:pPr>
            <w:r w:rsidRPr="00654D8E">
              <w:rPr>
                <w:rFonts w:asciiTheme="minorHAnsi" w:hAnsiTheme="minorHAnsi"/>
                <w:sz w:val="22"/>
                <w:szCs w:val="22"/>
                <w:lang w:val="es-CL"/>
              </w:rPr>
              <w:t>Avanzado Instituciones Públicas e Industria</w:t>
            </w:r>
          </w:p>
        </w:tc>
        <w:tc>
          <w:tcPr>
            <w:tcW w:w="1188" w:type="pct"/>
            <w:tcBorders>
              <w:top w:val="none" w:sz="0" w:space="0" w:color="auto"/>
              <w:bottom w:val="none" w:sz="0" w:space="0" w:color="auto"/>
            </w:tcBorders>
            <w:vAlign w:val="center"/>
          </w:tcPr>
          <w:p w:rsidR="006E1497" w:rsidRPr="00654D8E" w:rsidRDefault="006E1497" w:rsidP="00F276EB">
            <w:pPr>
              <w:autoSpaceDE w:val="0"/>
              <w:autoSpaceDN w:val="0"/>
              <w:adjustRightInd w:val="0"/>
              <w:contextualSpacing/>
              <w:jc w:val="left"/>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sidRPr="00654D8E">
              <w:rPr>
                <w:rFonts w:asciiTheme="minorHAnsi" w:hAnsiTheme="minorHAnsi"/>
                <w:sz w:val="22"/>
                <w:szCs w:val="22"/>
                <w:lang w:val="es-CL"/>
              </w:rPr>
              <w:t>9,10,11-Oct-2013,  Santiago</w:t>
            </w:r>
          </w:p>
        </w:tc>
        <w:tc>
          <w:tcPr>
            <w:tcW w:w="2500" w:type="pct"/>
            <w:tcBorders>
              <w:top w:val="none" w:sz="0" w:space="0" w:color="auto"/>
              <w:bottom w:val="none" w:sz="0" w:space="0" w:color="auto"/>
              <w:right w:val="none" w:sz="0" w:space="0" w:color="auto"/>
            </w:tcBorders>
          </w:tcPr>
          <w:p w:rsidR="006E1497" w:rsidRPr="00654D8E" w:rsidRDefault="006E1497" w:rsidP="00606EAC">
            <w:pPr>
              <w:autoSpaceDE w:val="0"/>
              <w:autoSpaceDN w:val="0"/>
              <w:adjustRightInd w:val="0"/>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sidRPr="00654D8E">
              <w:rPr>
                <w:rFonts w:asciiTheme="minorHAnsi" w:hAnsiTheme="minorHAnsi"/>
                <w:sz w:val="22"/>
                <w:szCs w:val="22"/>
                <w:lang w:val="es-CL"/>
              </w:rPr>
              <w:t>43</w:t>
            </w:r>
            <w:r w:rsidR="00DD0209">
              <w:rPr>
                <w:rFonts w:asciiTheme="minorHAnsi" w:hAnsiTheme="minorHAnsi"/>
                <w:sz w:val="22"/>
                <w:szCs w:val="22"/>
                <w:lang w:val="es-CL"/>
              </w:rPr>
              <w:t xml:space="preserve"> </w:t>
            </w:r>
            <w:r w:rsidRPr="00654D8E">
              <w:rPr>
                <w:rFonts w:asciiTheme="minorHAnsi" w:hAnsiTheme="minorHAnsi"/>
                <w:sz w:val="22"/>
                <w:szCs w:val="22"/>
                <w:lang w:val="es-CL"/>
              </w:rPr>
              <w:t>representantes de Instituciones Públicas y distintas empresas del sector Industrial</w:t>
            </w:r>
          </w:p>
        </w:tc>
      </w:tr>
    </w:tbl>
    <w:p w:rsidR="00C37B65" w:rsidRDefault="00C37B65" w:rsidP="00283FF3">
      <w:pPr>
        <w:autoSpaceDE w:val="0"/>
        <w:autoSpaceDN w:val="0"/>
        <w:adjustRightInd w:val="0"/>
        <w:jc w:val="both"/>
        <w:rPr>
          <w:sz w:val="22"/>
          <w:szCs w:val="22"/>
          <w:lang w:val="es-CL"/>
        </w:rPr>
      </w:pPr>
    </w:p>
    <w:p w:rsidR="006E1497" w:rsidRPr="006E1497" w:rsidRDefault="006E1497" w:rsidP="00283FF3">
      <w:pPr>
        <w:autoSpaceDE w:val="0"/>
        <w:autoSpaceDN w:val="0"/>
        <w:adjustRightInd w:val="0"/>
        <w:jc w:val="both"/>
        <w:rPr>
          <w:sz w:val="22"/>
          <w:szCs w:val="22"/>
          <w:lang w:val="es-CL"/>
        </w:rPr>
      </w:pPr>
      <w:r w:rsidRPr="006E1497">
        <w:rPr>
          <w:sz w:val="22"/>
          <w:szCs w:val="22"/>
          <w:lang w:val="es-CL"/>
        </w:rPr>
        <w:t>Por otra parte, se finalizó el estudio de “Análisis de Vacíos del GHS en Chile”, que permitió obtener un diagnóstico de la legislación nacional vigente relacionada con la clasificación, etiquetado y hojas de datos de seguridad de las sustancias químicas peligrosas, identificando vacíos y entregando propuestas para la implementación del GHS, información relevante para iniciar la planificación la Estrategia Nacional de acuerdo a la realidad concreta del país. Su</w:t>
      </w:r>
      <w:r w:rsidR="000C3606">
        <w:rPr>
          <w:sz w:val="22"/>
          <w:szCs w:val="22"/>
          <w:lang w:val="es-CL"/>
        </w:rPr>
        <w:t>s principales resultados se detallan en el punto 3.2.5.</w:t>
      </w:r>
    </w:p>
    <w:p w:rsidR="006E1497" w:rsidRDefault="00C44B3C" w:rsidP="00606EAC">
      <w:pPr>
        <w:jc w:val="both"/>
        <w:rPr>
          <w:sz w:val="22"/>
          <w:szCs w:val="22"/>
          <w:lang w:val="es-CL"/>
        </w:rPr>
      </w:pPr>
      <w:r>
        <w:rPr>
          <w:sz w:val="22"/>
          <w:szCs w:val="22"/>
          <w:lang w:val="es-CL"/>
        </w:rPr>
        <w:t>Adicionalmente</w:t>
      </w:r>
      <w:r w:rsidR="006E1497" w:rsidRPr="006E1497">
        <w:rPr>
          <w:sz w:val="22"/>
          <w:szCs w:val="22"/>
          <w:lang w:val="es-CL"/>
        </w:rPr>
        <w:t>, la información sobre el GHS en Chile está disponible en la página Web creada (</w:t>
      </w:r>
      <w:hyperlink r:id="rId22" w:history="1">
        <w:r w:rsidR="006E1497" w:rsidRPr="002D0393">
          <w:rPr>
            <w:rStyle w:val="Hyperlink"/>
            <w:color w:val="0070C0"/>
            <w:sz w:val="22"/>
            <w:szCs w:val="22"/>
            <w:lang w:val="es-CL"/>
          </w:rPr>
          <w:t>www.ghs-chile.cl</w:t>
        </w:r>
      </w:hyperlink>
      <w:r w:rsidR="006E1497" w:rsidRPr="006E1497">
        <w:rPr>
          <w:sz w:val="22"/>
          <w:szCs w:val="22"/>
          <w:lang w:val="es-CL"/>
        </w:rPr>
        <w:t>) y adicionalmente, los avances y experiencias han sido compartidas a través de las herramientas de cooperación de la APEC y OCDE. En el caso de la APEC, Chile ha respondido al cuestionario sobre estado de implementación enviado a los países miembros para el “</w:t>
      </w:r>
      <w:r w:rsidR="006E1497" w:rsidRPr="00654D8E">
        <w:rPr>
          <w:i/>
          <w:sz w:val="22"/>
          <w:szCs w:val="22"/>
          <w:lang w:val="es-CL"/>
        </w:rPr>
        <w:t>Reporte sobre estatus de Implementación del GHS</w:t>
      </w:r>
      <w:r w:rsidR="006E1497" w:rsidRPr="006E1497">
        <w:rPr>
          <w:sz w:val="22"/>
          <w:szCs w:val="22"/>
          <w:lang w:val="es-CL"/>
        </w:rPr>
        <w:t>” del año 2012</w:t>
      </w:r>
      <w:r w:rsidR="006E1497" w:rsidRPr="006E1497">
        <w:rPr>
          <w:rStyle w:val="FootnoteReference"/>
          <w:sz w:val="22"/>
          <w:szCs w:val="22"/>
          <w:lang w:val="es-CL"/>
        </w:rPr>
        <w:footnoteReference w:id="9"/>
      </w:r>
      <w:r w:rsidR="006E1497" w:rsidRPr="006E1497">
        <w:rPr>
          <w:sz w:val="22"/>
          <w:szCs w:val="22"/>
          <w:lang w:val="es-CL"/>
        </w:rPr>
        <w:t xml:space="preserve"> y en el ca</w:t>
      </w:r>
      <w:r w:rsidR="00654D8E">
        <w:rPr>
          <w:sz w:val="22"/>
          <w:szCs w:val="22"/>
          <w:lang w:val="es-CL"/>
        </w:rPr>
        <w:t>s</w:t>
      </w:r>
      <w:r w:rsidR="006E1497" w:rsidRPr="006E1497">
        <w:rPr>
          <w:sz w:val="22"/>
          <w:szCs w:val="22"/>
          <w:lang w:val="es-CL"/>
        </w:rPr>
        <w:t xml:space="preserve">o de la OCDE </w:t>
      </w:r>
      <w:r w:rsidR="00654D8E">
        <w:rPr>
          <w:sz w:val="22"/>
          <w:szCs w:val="22"/>
          <w:lang w:val="es-CL"/>
        </w:rPr>
        <w:t xml:space="preserve">se </w:t>
      </w:r>
      <w:r w:rsidR="006E1497" w:rsidRPr="006E1497">
        <w:rPr>
          <w:sz w:val="22"/>
          <w:szCs w:val="22"/>
          <w:lang w:val="es-CL"/>
        </w:rPr>
        <w:t>respondió el cuestionario correspondiente para el “</w:t>
      </w:r>
      <w:r w:rsidR="006E1497" w:rsidRPr="00654D8E">
        <w:rPr>
          <w:i/>
          <w:sz w:val="22"/>
          <w:szCs w:val="22"/>
          <w:lang w:val="es-CL"/>
        </w:rPr>
        <w:t>Reporte sobre la Preparación de la Implementación del GHS en países no miembros del OCDE</w:t>
      </w:r>
      <w:r w:rsidR="006E1497" w:rsidRPr="006E1497">
        <w:rPr>
          <w:sz w:val="22"/>
          <w:szCs w:val="22"/>
          <w:lang w:val="es-CL"/>
        </w:rPr>
        <w:t>” año 2007</w:t>
      </w:r>
      <w:r w:rsidR="006E1497" w:rsidRPr="006E1497">
        <w:rPr>
          <w:rStyle w:val="FootnoteReference"/>
          <w:sz w:val="22"/>
          <w:szCs w:val="22"/>
          <w:lang w:val="es-CL"/>
        </w:rPr>
        <w:footnoteReference w:id="10"/>
      </w:r>
      <w:r w:rsidR="006E1497" w:rsidRPr="006E1497">
        <w:rPr>
          <w:sz w:val="22"/>
          <w:szCs w:val="22"/>
          <w:lang w:val="es-CL"/>
        </w:rPr>
        <w:t>.</w:t>
      </w:r>
    </w:p>
    <w:p w:rsidR="00C44B3C" w:rsidRPr="00C44B3C" w:rsidRDefault="00D85E89" w:rsidP="00606EAC">
      <w:pPr>
        <w:autoSpaceDE w:val="0"/>
        <w:autoSpaceDN w:val="0"/>
        <w:adjustRightInd w:val="0"/>
        <w:jc w:val="both"/>
        <w:rPr>
          <w:rFonts w:cs="TwCenMT-Regular"/>
          <w:kern w:val="0"/>
          <w:sz w:val="22"/>
          <w:szCs w:val="22"/>
          <w:lang w:val="es-ES"/>
        </w:rPr>
      </w:pPr>
      <w:r>
        <w:rPr>
          <w:rFonts w:cs="TwCenMT-Regular"/>
          <w:kern w:val="0"/>
          <w:sz w:val="22"/>
          <w:szCs w:val="22"/>
          <w:lang w:val="es-ES"/>
        </w:rPr>
        <w:t>L</w:t>
      </w:r>
      <w:r w:rsidR="00C44B3C" w:rsidRPr="00C44B3C">
        <w:rPr>
          <w:rFonts w:cs="TwCenMT-Regular"/>
          <w:kern w:val="0"/>
          <w:sz w:val="22"/>
          <w:szCs w:val="22"/>
          <w:lang w:val="es-ES"/>
        </w:rPr>
        <w:t xml:space="preserve">a vinculación más cercana del usuario con la </w:t>
      </w:r>
      <w:r w:rsidR="00C44B3C">
        <w:rPr>
          <w:rFonts w:cs="TwCenMT-Regular"/>
          <w:kern w:val="0"/>
          <w:sz w:val="22"/>
          <w:szCs w:val="22"/>
          <w:lang w:val="es-ES"/>
        </w:rPr>
        <w:t xml:space="preserve">señalética </w:t>
      </w:r>
      <w:r w:rsidR="00C44B3C" w:rsidRPr="00C44B3C">
        <w:rPr>
          <w:rFonts w:cs="TwCenMT-Regular"/>
          <w:kern w:val="0"/>
          <w:sz w:val="22"/>
          <w:szCs w:val="22"/>
          <w:lang w:val="es-ES"/>
        </w:rPr>
        <w:t>asociada a riesgos de</w:t>
      </w:r>
      <w:r w:rsidR="00C44B3C">
        <w:rPr>
          <w:rFonts w:cs="TwCenMT-Regular"/>
          <w:kern w:val="0"/>
          <w:sz w:val="22"/>
          <w:szCs w:val="22"/>
          <w:lang w:val="es-ES"/>
        </w:rPr>
        <w:t xml:space="preserve"> </w:t>
      </w:r>
      <w:r w:rsidR="00C44B3C" w:rsidRPr="00C44B3C">
        <w:rPr>
          <w:rFonts w:cs="TwCenMT-Regular"/>
          <w:kern w:val="0"/>
          <w:sz w:val="22"/>
          <w:szCs w:val="22"/>
          <w:lang w:val="es-ES"/>
        </w:rPr>
        <w:t>sustancias químicas se produce a través de la normativa para transporte y almacenamiento. En el caso del</w:t>
      </w:r>
      <w:r w:rsidR="00C44B3C">
        <w:rPr>
          <w:rFonts w:cs="TwCenMT-Regular"/>
          <w:kern w:val="0"/>
          <w:sz w:val="22"/>
          <w:szCs w:val="22"/>
          <w:lang w:val="es-ES"/>
        </w:rPr>
        <w:t xml:space="preserve"> </w:t>
      </w:r>
      <w:r w:rsidR="00C44B3C" w:rsidRPr="00C44B3C">
        <w:rPr>
          <w:rFonts w:cs="TwCenMT-Regular"/>
          <w:kern w:val="0"/>
          <w:sz w:val="22"/>
          <w:szCs w:val="22"/>
          <w:lang w:val="es-ES"/>
        </w:rPr>
        <w:t>transporte, de acuerdo a lo que indica la NCh 1411 Identificación de riesgos y NCh 2190 Distintivos para</w:t>
      </w:r>
      <w:r w:rsidR="00C44B3C">
        <w:rPr>
          <w:rFonts w:cs="TwCenMT-Regular"/>
          <w:kern w:val="0"/>
          <w:sz w:val="22"/>
          <w:szCs w:val="22"/>
          <w:lang w:val="es-ES"/>
        </w:rPr>
        <w:t xml:space="preserve"> </w:t>
      </w:r>
      <w:r w:rsidR="00C44B3C" w:rsidRPr="00C44B3C">
        <w:rPr>
          <w:rFonts w:cs="TwCenMT-Regular"/>
          <w:kern w:val="0"/>
          <w:sz w:val="22"/>
          <w:szCs w:val="22"/>
          <w:lang w:val="es-ES"/>
        </w:rPr>
        <w:t>transporte según clase de sustancia peligrosa y en el caso de almacenamiento, las instrucciones que</w:t>
      </w:r>
      <w:r w:rsidR="00C44B3C">
        <w:rPr>
          <w:rFonts w:cs="TwCenMT-Regular"/>
          <w:kern w:val="0"/>
          <w:sz w:val="22"/>
          <w:szCs w:val="22"/>
          <w:lang w:val="es-ES"/>
        </w:rPr>
        <w:t xml:space="preserve"> </w:t>
      </w:r>
      <w:r w:rsidR="00C44B3C" w:rsidRPr="00C44B3C">
        <w:rPr>
          <w:rFonts w:cs="TwCenMT-Regular"/>
          <w:kern w:val="0"/>
          <w:sz w:val="22"/>
          <w:szCs w:val="22"/>
          <w:lang w:val="es-ES"/>
        </w:rPr>
        <w:t>entrega el MINSAL a través del DS 78/09 “</w:t>
      </w:r>
      <w:r w:rsidR="00C44B3C" w:rsidRPr="00C44B3C">
        <w:rPr>
          <w:rFonts w:cs="TwCenMT-Italic"/>
          <w:i/>
          <w:iCs/>
          <w:kern w:val="0"/>
          <w:sz w:val="22"/>
          <w:szCs w:val="22"/>
          <w:lang w:val="es-ES"/>
        </w:rPr>
        <w:t>Reglamento de almacenamiento de sustancias peligrosas</w:t>
      </w:r>
      <w:r w:rsidR="00C44B3C" w:rsidRPr="00C44B3C">
        <w:rPr>
          <w:rFonts w:cs="TwCenMT-Regular"/>
          <w:kern w:val="0"/>
          <w:sz w:val="22"/>
          <w:szCs w:val="22"/>
          <w:lang w:val="es-ES"/>
        </w:rPr>
        <w:t>” y su</w:t>
      </w:r>
      <w:r w:rsidR="00C44B3C">
        <w:rPr>
          <w:rFonts w:cs="TwCenMT-Regular"/>
          <w:kern w:val="0"/>
          <w:sz w:val="22"/>
          <w:szCs w:val="22"/>
          <w:lang w:val="es-ES"/>
        </w:rPr>
        <w:t xml:space="preserve"> </w:t>
      </w:r>
      <w:r w:rsidR="00C44B3C" w:rsidRPr="00C44B3C">
        <w:rPr>
          <w:rFonts w:cs="TwCenMT-Regular"/>
          <w:kern w:val="0"/>
          <w:sz w:val="22"/>
          <w:szCs w:val="22"/>
          <w:lang w:val="es-ES"/>
        </w:rPr>
        <w:t>modificación (DS 60/12) respecto al etiquetado de los envases y embalajes que contienen sustancias que</w:t>
      </w:r>
      <w:r w:rsidR="00C44B3C">
        <w:rPr>
          <w:rFonts w:cs="TwCenMT-Regular"/>
          <w:kern w:val="0"/>
          <w:sz w:val="22"/>
          <w:szCs w:val="22"/>
          <w:lang w:val="es-ES"/>
        </w:rPr>
        <w:t xml:space="preserve"> </w:t>
      </w:r>
      <w:r w:rsidR="00C44B3C" w:rsidRPr="00C44B3C">
        <w:rPr>
          <w:rFonts w:cs="TwCenMT-Regular"/>
          <w:kern w:val="0"/>
          <w:sz w:val="22"/>
          <w:szCs w:val="22"/>
          <w:lang w:val="es-ES"/>
        </w:rPr>
        <w:t>son consideradas peligrosas, excepto formulaciones de plaguicidas, bebidas alcohólicas y productos</w:t>
      </w:r>
      <w:r w:rsidR="00C44B3C">
        <w:rPr>
          <w:rFonts w:cs="TwCenMT-Regular"/>
          <w:kern w:val="0"/>
          <w:sz w:val="22"/>
          <w:szCs w:val="22"/>
          <w:lang w:val="es-ES"/>
        </w:rPr>
        <w:t xml:space="preserve"> </w:t>
      </w:r>
      <w:r w:rsidR="00C44B3C" w:rsidRPr="00C44B3C">
        <w:rPr>
          <w:rFonts w:cs="TwCenMT-Regular"/>
          <w:kern w:val="0"/>
          <w:sz w:val="22"/>
          <w:szCs w:val="22"/>
          <w:lang w:val="es-ES"/>
        </w:rPr>
        <w:t>cosméticos. Estas indicaciones tienen por objetivo informar sobre quiénes son los responsables, cu</w:t>
      </w:r>
      <w:r w:rsidR="003915DD">
        <w:rPr>
          <w:rFonts w:cs="TwCenMT-Regular"/>
          <w:kern w:val="0"/>
          <w:sz w:val="22"/>
          <w:szCs w:val="22"/>
          <w:lang w:val="es-ES"/>
        </w:rPr>
        <w:t>á</w:t>
      </w:r>
      <w:r w:rsidR="00C44B3C" w:rsidRPr="00C44B3C">
        <w:rPr>
          <w:rFonts w:cs="TwCenMT-Regular"/>
          <w:kern w:val="0"/>
          <w:sz w:val="22"/>
          <w:szCs w:val="22"/>
          <w:lang w:val="es-ES"/>
        </w:rPr>
        <w:t>les son</w:t>
      </w:r>
      <w:r w:rsidR="00C44B3C">
        <w:rPr>
          <w:rFonts w:cs="TwCenMT-Regular"/>
          <w:kern w:val="0"/>
          <w:sz w:val="22"/>
          <w:szCs w:val="22"/>
          <w:lang w:val="es-ES"/>
        </w:rPr>
        <w:t xml:space="preserve"> </w:t>
      </w:r>
      <w:r w:rsidR="00C44B3C" w:rsidRPr="00C44B3C">
        <w:rPr>
          <w:rFonts w:cs="TwCenMT-Regular"/>
          <w:kern w:val="0"/>
          <w:sz w:val="22"/>
          <w:szCs w:val="22"/>
          <w:lang w:val="es-ES"/>
        </w:rPr>
        <w:t>los riesgos a los que se</w:t>
      </w:r>
      <w:r w:rsidR="003915DD">
        <w:rPr>
          <w:rFonts w:cs="TwCenMT-Regular"/>
          <w:kern w:val="0"/>
          <w:sz w:val="22"/>
          <w:szCs w:val="22"/>
          <w:lang w:val="es-ES"/>
        </w:rPr>
        <w:t xml:space="preserve"> ven expuestos los usuarios y có</w:t>
      </w:r>
      <w:r w:rsidR="00C44B3C" w:rsidRPr="00C44B3C">
        <w:rPr>
          <w:rFonts w:cs="TwCenMT-Regular"/>
          <w:kern w:val="0"/>
          <w:sz w:val="22"/>
          <w:szCs w:val="22"/>
          <w:lang w:val="es-ES"/>
        </w:rPr>
        <w:t xml:space="preserve">mo combatirlos. </w:t>
      </w:r>
      <w:r>
        <w:rPr>
          <w:rFonts w:cs="TwCenMT-Regular"/>
          <w:kern w:val="0"/>
          <w:sz w:val="22"/>
          <w:szCs w:val="22"/>
          <w:lang w:val="es-ES"/>
        </w:rPr>
        <w:t>Un</w:t>
      </w:r>
      <w:r w:rsidR="00C44B3C" w:rsidRPr="00C44B3C">
        <w:rPr>
          <w:rFonts w:cs="TwCenMT-Regular"/>
          <w:kern w:val="0"/>
          <w:sz w:val="22"/>
          <w:szCs w:val="22"/>
          <w:lang w:val="es-ES"/>
        </w:rPr>
        <w:t xml:space="preserve"> ejemplo</w:t>
      </w:r>
      <w:r>
        <w:rPr>
          <w:rFonts w:cs="TwCenMT-Regular"/>
          <w:kern w:val="0"/>
          <w:sz w:val="22"/>
          <w:szCs w:val="22"/>
          <w:lang w:val="es-ES"/>
        </w:rPr>
        <w:t xml:space="preserve"> de esto</w:t>
      </w:r>
      <w:r w:rsidR="00C44B3C" w:rsidRPr="00C44B3C">
        <w:rPr>
          <w:rFonts w:cs="TwCenMT-Regular"/>
          <w:kern w:val="0"/>
          <w:sz w:val="22"/>
          <w:szCs w:val="22"/>
          <w:lang w:val="es-ES"/>
        </w:rPr>
        <w:t xml:space="preserve">, </w:t>
      </w:r>
      <w:r>
        <w:rPr>
          <w:rFonts w:cs="TwCenMT-Regular"/>
          <w:kern w:val="0"/>
          <w:sz w:val="22"/>
          <w:szCs w:val="22"/>
          <w:lang w:val="es-ES"/>
        </w:rPr>
        <w:t xml:space="preserve">se ve en las exigencias de etiquetado, donde </w:t>
      </w:r>
      <w:r w:rsidR="00C44B3C" w:rsidRPr="00C44B3C">
        <w:rPr>
          <w:rFonts w:cs="TwCenMT-Regular"/>
          <w:kern w:val="0"/>
          <w:sz w:val="22"/>
          <w:szCs w:val="22"/>
          <w:lang w:val="es-ES"/>
        </w:rPr>
        <w:t>se indica que las</w:t>
      </w:r>
      <w:r w:rsidR="00C44B3C">
        <w:rPr>
          <w:rFonts w:cs="TwCenMT-Regular"/>
          <w:kern w:val="0"/>
          <w:sz w:val="22"/>
          <w:szCs w:val="22"/>
          <w:lang w:val="es-ES"/>
        </w:rPr>
        <w:t xml:space="preserve"> </w:t>
      </w:r>
      <w:r w:rsidR="00C44B3C" w:rsidRPr="00C44B3C">
        <w:rPr>
          <w:rFonts w:cs="TwCenMT-Regular"/>
          <w:kern w:val="0"/>
          <w:sz w:val="22"/>
          <w:szCs w:val="22"/>
          <w:lang w:val="es-ES"/>
        </w:rPr>
        <w:t>etiquetas deben estar en idioma español, con letra legible, los títulos impresos en color negro sobre fondo</w:t>
      </w:r>
      <w:r w:rsidR="00C44B3C">
        <w:rPr>
          <w:rFonts w:cs="TwCenMT-Regular"/>
          <w:kern w:val="0"/>
          <w:sz w:val="22"/>
          <w:szCs w:val="22"/>
          <w:lang w:val="es-ES"/>
        </w:rPr>
        <w:t xml:space="preserve"> </w:t>
      </w:r>
      <w:r w:rsidR="00C44B3C" w:rsidRPr="00C44B3C">
        <w:rPr>
          <w:rFonts w:cs="TwCenMT-Regular"/>
          <w:kern w:val="0"/>
          <w:sz w:val="22"/>
          <w:szCs w:val="22"/>
          <w:lang w:val="es-ES"/>
        </w:rPr>
        <w:t>blanco, dispuestos en forma horizontal cuando el envase se encuentre en su posición normal. Por otro lado,</w:t>
      </w:r>
      <w:r w:rsidR="00C44B3C">
        <w:rPr>
          <w:rFonts w:cs="TwCenMT-Regular"/>
          <w:kern w:val="0"/>
          <w:sz w:val="22"/>
          <w:szCs w:val="22"/>
          <w:lang w:val="es-ES"/>
        </w:rPr>
        <w:t xml:space="preserve"> l</w:t>
      </w:r>
      <w:r w:rsidR="00C44B3C" w:rsidRPr="00C44B3C">
        <w:rPr>
          <w:rFonts w:cs="TwCenMT-Regular"/>
          <w:kern w:val="0"/>
          <w:sz w:val="22"/>
          <w:szCs w:val="22"/>
          <w:lang w:val="es-ES"/>
        </w:rPr>
        <w:t>a información mínima que deben tener las etiquetas debe coincidir con la Hoja de Datos de Seguridad</w:t>
      </w:r>
      <w:r w:rsidR="00C44B3C">
        <w:rPr>
          <w:rFonts w:cs="TwCenMT-Regular"/>
          <w:kern w:val="0"/>
          <w:sz w:val="22"/>
          <w:szCs w:val="22"/>
          <w:lang w:val="es-ES"/>
        </w:rPr>
        <w:t xml:space="preserve"> </w:t>
      </w:r>
      <w:r w:rsidR="00C44B3C" w:rsidRPr="00C44B3C">
        <w:rPr>
          <w:rFonts w:cs="TwCenMT-Regular"/>
          <w:kern w:val="0"/>
          <w:sz w:val="22"/>
          <w:szCs w:val="22"/>
          <w:lang w:val="es-ES"/>
        </w:rPr>
        <w:t>(HDS), y debe ser al menos: Identificación del producto (Nombre químico de la sustancia, Número de las</w:t>
      </w:r>
      <w:r w:rsidR="00C44B3C">
        <w:rPr>
          <w:rFonts w:cs="TwCenMT-Regular"/>
          <w:kern w:val="0"/>
          <w:sz w:val="22"/>
          <w:szCs w:val="22"/>
          <w:lang w:val="es-ES"/>
        </w:rPr>
        <w:t xml:space="preserve"> </w:t>
      </w:r>
      <w:r w:rsidR="00C44B3C" w:rsidRPr="00C44B3C">
        <w:rPr>
          <w:rFonts w:cs="TwCenMT-Regular"/>
          <w:kern w:val="0"/>
          <w:sz w:val="22"/>
          <w:szCs w:val="22"/>
          <w:lang w:val="es-ES"/>
        </w:rPr>
        <w:t>Naciones Unidas), Identificación del proveedor (Nombre, dirección, teléfono), Indicaciones de seguridad</w:t>
      </w:r>
      <w:r w:rsidR="00C44B3C">
        <w:rPr>
          <w:rFonts w:cs="TwCenMT-Regular"/>
          <w:kern w:val="0"/>
          <w:sz w:val="22"/>
          <w:szCs w:val="22"/>
          <w:lang w:val="es-ES"/>
        </w:rPr>
        <w:t xml:space="preserve"> </w:t>
      </w:r>
      <w:r w:rsidR="00C44B3C" w:rsidRPr="00C44B3C">
        <w:rPr>
          <w:rFonts w:cs="TwCenMT-Regular"/>
          <w:kern w:val="0"/>
          <w:sz w:val="22"/>
          <w:szCs w:val="22"/>
          <w:lang w:val="es-ES"/>
        </w:rPr>
        <w:t>(medidas de primeros auxilios, información toxicológica, teléfonos de emergencia) y rótulos (para el caso</w:t>
      </w:r>
      <w:r w:rsidR="00C44B3C">
        <w:rPr>
          <w:rFonts w:cs="TwCenMT-Regular"/>
          <w:kern w:val="0"/>
          <w:sz w:val="22"/>
          <w:szCs w:val="22"/>
          <w:lang w:val="es-ES"/>
        </w:rPr>
        <w:t xml:space="preserve"> </w:t>
      </w:r>
      <w:r w:rsidR="00C44B3C" w:rsidRPr="00C44B3C">
        <w:rPr>
          <w:rFonts w:cs="TwCenMT-Regular"/>
          <w:kern w:val="0"/>
          <w:sz w:val="22"/>
          <w:szCs w:val="22"/>
          <w:lang w:val="es-ES"/>
        </w:rPr>
        <w:t>de las sustancias que se exportan deben cumplir con el etiquetado establecido por GHS). Por último, se</w:t>
      </w:r>
      <w:r w:rsidR="00C44B3C">
        <w:rPr>
          <w:rFonts w:cs="TwCenMT-Regular"/>
          <w:kern w:val="0"/>
          <w:sz w:val="22"/>
          <w:szCs w:val="22"/>
          <w:lang w:val="es-ES"/>
        </w:rPr>
        <w:t xml:space="preserve"> </w:t>
      </w:r>
      <w:r w:rsidR="00C44B3C" w:rsidRPr="00C44B3C">
        <w:rPr>
          <w:rFonts w:cs="TwCenMT-Regular"/>
          <w:kern w:val="0"/>
          <w:sz w:val="22"/>
          <w:szCs w:val="22"/>
          <w:lang w:val="es-ES"/>
        </w:rPr>
        <w:t>indica en el reglamento las dimensiones de las etiquetas dependiendo el volumen del envase.</w:t>
      </w:r>
    </w:p>
    <w:p w:rsidR="00C44B3C" w:rsidRPr="00C44B3C" w:rsidRDefault="00C44B3C" w:rsidP="00606EAC">
      <w:pPr>
        <w:autoSpaceDE w:val="0"/>
        <w:autoSpaceDN w:val="0"/>
        <w:adjustRightInd w:val="0"/>
        <w:jc w:val="both"/>
        <w:rPr>
          <w:rFonts w:cs="TwCenMT-Regular"/>
          <w:color w:val="000000"/>
          <w:kern w:val="0"/>
          <w:sz w:val="22"/>
          <w:szCs w:val="22"/>
          <w:lang w:val="es-ES"/>
        </w:rPr>
      </w:pPr>
      <w:r w:rsidRPr="00C44B3C">
        <w:rPr>
          <w:rFonts w:cs="TwCenMT-Regular"/>
          <w:kern w:val="0"/>
          <w:sz w:val="22"/>
          <w:szCs w:val="22"/>
          <w:lang w:val="es-ES"/>
        </w:rPr>
        <w:t>El DS 78/09 entró en vigencia en marzo del 2011 y desde entonces se exige esta información en las</w:t>
      </w:r>
      <w:r>
        <w:rPr>
          <w:rFonts w:cs="TwCenMT-Regular"/>
          <w:kern w:val="0"/>
          <w:sz w:val="22"/>
          <w:szCs w:val="22"/>
          <w:lang w:val="es-ES"/>
        </w:rPr>
        <w:t xml:space="preserve"> </w:t>
      </w:r>
      <w:r w:rsidRPr="00C44B3C">
        <w:rPr>
          <w:rFonts w:cs="TwCenMT-Regular"/>
          <w:kern w:val="0"/>
          <w:sz w:val="22"/>
          <w:szCs w:val="22"/>
          <w:lang w:val="es-ES"/>
        </w:rPr>
        <w:t>etiquetas de envases con sustancias peligrosas, sin embargo</w:t>
      </w:r>
      <w:r w:rsidR="00ED6568">
        <w:rPr>
          <w:rFonts w:cs="TwCenMT-Regular"/>
          <w:kern w:val="0"/>
          <w:sz w:val="22"/>
          <w:szCs w:val="22"/>
          <w:lang w:val="es-ES"/>
        </w:rPr>
        <w:t>,</w:t>
      </w:r>
      <w:r w:rsidRPr="00C44B3C">
        <w:rPr>
          <w:rFonts w:cs="TwCenMT-Regular"/>
          <w:kern w:val="0"/>
          <w:sz w:val="22"/>
          <w:szCs w:val="22"/>
          <w:lang w:val="es-ES"/>
        </w:rPr>
        <w:t xml:space="preserve"> existen proveedores que desde antes</w:t>
      </w:r>
      <w:r>
        <w:rPr>
          <w:rFonts w:cs="TwCenMT-Regular"/>
          <w:kern w:val="0"/>
          <w:sz w:val="22"/>
          <w:szCs w:val="22"/>
          <w:lang w:val="es-ES"/>
        </w:rPr>
        <w:t xml:space="preserve"> </w:t>
      </w:r>
      <w:r w:rsidRPr="00C44B3C">
        <w:rPr>
          <w:rFonts w:cs="TwCenMT-Regular"/>
          <w:kern w:val="0"/>
          <w:sz w:val="22"/>
          <w:szCs w:val="22"/>
          <w:lang w:val="es-ES"/>
        </w:rPr>
        <w:t>entregan este tipo de información, principalmente proveedores nacionales cuya casa matriz está en el</w:t>
      </w:r>
      <w:r>
        <w:rPr>
          <w:rFonts w:cs="TwCenMT-Regular"/>
          <w:kern w:val="0"/>
          <w:sz w:val="22"/>
          <w:szCs w:val="22"/>
          <w:lang w:val="es-ES"/>
        </w:rPr>
        <w:t xml:space="preserve"> </w:t>
      </w:r>
      <w:r w:rsidRPr="00C44B3C">
        <w:rPr>
          <w:rFonts w:cs="TwCenMT-Regular"/>
          <w:kern w:val="0"/>
          <w:sz w:val="22"/>
          <w:szCs w:val="22"/>
          <w:lang w:val="es-ES"/>
        </w:rPr>
        <w:t>extranjero. A pesar de lo anterior se observa que muchos usuarios de sustancias químicas no saben</w:t>
      </w:r>
      <w:r>
        <w:rPr>
          <w:rFonts w:cs="TwCenMT-Regular"/>
          <w:kern w:val="0"/>
          <w:sz w:val="22"/>
          <w:szCs w:val="22"/>
          <w:lang w:val="es-ES"/>
        </w:rPr>
        <w:t xml:space="preserve"> </w:t>
      </w:r>
      <w:r w:rsidRPr="00C44B3C">
        <w:rPr>
          <w:rFonts w:cs="TwCenMT-Regular"/>
          <w:kern w:val="0"/>
          <w:sz w:val="22"/>
          <w:szCs w:val="22"/>
          <w:lang w:val="es-ES"/>
        </w:rPr>
        <w:t xml:space="preserve">interpretar correctamente los </w:t>
      </w:r>
      <w:r w:rsidR="00ED6568">
        <w:rPr>
          <w:rFonts w:cs="TwCenMT-Regular"/>
          <w:kern w:val="0"/>
          <w:sz w:val="22"/>
          <w:szCs w:val="22"/>
          <w:lang w:val="es-ES"/>
        </w:rPr>
        <w:t>peligros</w:t>
      </w:r>
      <w:r w:rsidRPr="00C44B3C">
        <w:rPr>
          <w:rFonts w:cs="TwCenMT-Regular"/>
          <w:kern w:val="0"/>
          <w:sz w:val="22"/>
          <w:szCs w:val="22"/>
          <w:lang w:val="es-ES"/>
        </w:rPr>
        <w:t xml:space="preserve"> informados en las etiquetas, especialmente los pictogramas y rombos</w:t>
      </w:r>
      <w:r>
        <w:rPr>
          <w:rFonts w:cs="TwCenMT-Regular"/>
          <w:kern w:val="0"/>
          <w:sz w:val="22"/>
          <w:szCs w:val="22"/>
          <w:lang w:val="es-ES"/>
        </w:rPr>
        <w:t xml:space="preserve"> </w:t>
      </w:r>
      <w:r w:rsidRPr="00C44B3C">
        <w:rPr>
          <w:rFonts w:cs="TwCenMT-Regular"/>
          <w:kern w:val="0"/>
          <w:sz w:val="22"/>
          <w:szCs w:val="22"/>
          <w:lang w:val="es-ES"/>
        </w:rPr>
        <w:t>de peligrosidad. Lo mismo ocurre con las HDS (reguladas en su contenido mediante la NCh 2245), las</w:t>
      </w:r>
      <w:r>
        <w:rPr>
          <w:rFonts w:cs="TwCenMT-Regular"/>
          <w:kern w:val="0"/>
          <w:sz w:val="22"/>
          <w:szCs w:val="22"/>
          <w:lang w:val="es-ES"/>
        </w:rPr>
        <w:t xml:space="preserve"> </w:t>
      </w:r>
      <w:r w:rsidRPr="00C44B3C">
        <w:rPr>
          <w:rFonts w:cs="TwCenMT-Regular"/>
          <w:kern w:val="0"/>
          <w:sz w:val="22"/>
          <w:szCs w:val="22"/>
          <w:lang w:val="es-ES"/>
        </w:rPr>
        <w:t>cuales dependiendo del tipo de empresa y de usuario tienen o no la costumbre de revisar las HDS antes</w:t>
      </w:r>
      <w:r>
        <w:rPr>
          <w:rFonts w:cs="TwCenMT-Regular"/>
          <w:kern w:val="0"/>
          <w:sz w:val="22"/>
          <w:szCs w:val="22"/>
          <w:lang w:val="es-ES"/>
        </w:rPr>
        <w:t xml:space="preserve"> </w:t>
      </w:r>
      <w:r w:rsidRPr="00C44B3C">
        <w:rPr>
          <w:rFonts w:cs="TwCenMT-Regular"/>
          <w:kern w:val="0"/>
          <w:sz w:val="22"/>
          <w:szCs w:val="22"/>
          <w:lang w:val="es-ES"/>
        </w:rPr>
        <w:t>de manipular una nueva sustancia. Finalmente, los sectores en los cuales se observa una correcta</w:t>
      </w:r>
      <w:r>
        <w:rPr>
          <w:rFonts w:cs="TwCenMT-Regular"/>
          <w:kern w:val="0"/>
          <w:sz w:val="22"/>
          <w:szCs w:val="22"/>
          <w:lang w:val="es-ES"/>
        </w:rPr>
        <w:t xml:space="preserve"> </w:t>
      </w:r>
      <w:r w:rsidRPr="00C44B3C">
        <w:rPr>
          <w:rFonts w:cs="TwCenMT-Regular"/>
          <w:kern w:val="0"/>
          <w:sz w:val="22"/>
          <w:szCs w:val="22"/>
          <w:lang w:val="es-ES"/>
        </w:rPr>
        <w:t>interpretación y utilización de etiquetas y HDS, corresponden a aquellos en que el personal se encuentra</w:t>
      </w:r>
      <w:r>
        <w:rPr>
          <w:rFonts w:cs="TwCenMT-Regular"/>
          <w:kern w:val="0"/>
          <w:sz w:val="22"/>
          <w:szCs w:val="22"/>
          <w:lang w:val="es-ES"/>
        </w:rPr>
        <w:t xml:space="preserve"> </w:t>
      </w:r>
      <w:r w:rsidRPr="00C44B3C">
        <w:rPr>
          <w:rFonts w:cs="TwCenMT-Regular"/>
          <w:kern w:val="0"/>
          <w:sz w:val="22"/>
          <w:szCs w:val="22"/>
          <w:lang w:val="es-ES"/>
        </w:rPr>
        <w:t>capacitado al respecto y tiene una política fuerte asociada a la prevención y disminución de los riesgos</w:t>
      </w:r>
      <w:r w:rsidR="00ED6568">
        <w:rPr>
          <w:rFonts w:cs="TwCenMT-Regular"/>
          <w:kern w:val="0"/>
          <w:sz w:val="22"/>
          <w:szCs w:val="22"/>
          <w:lang w:val="es-ES"/>
        </w:rPr>
        <w:t xml:space="preserve"> </w:t>
      </w:r>
      <w:r w:rsidRPr="00C44B3C">
        <w:rPr>
          <w:rFonts w:cs="TwCenMT-Regular"/>
          <w:kern w:val="0"/>
          <w:sz w:val="22"/>
          <w:szCs w:val="22"/>
          <w:lang w:val="es-ES"/>
        </w:rPr>
        <w:t>de sus trabajadores.</w:t>
      </w:r>
    </w:p>
    <w:p w:rsidR="00E54B8F" w:rsidRDefault="008F48EE" w:rsidP="00606EAC">
      <w:pPr>
        <w:jc w:val="both"/>
        <w:rPr>
          <w:sz w:val="22"/>
          <w:szCs w:val="22"/>
          <w:lang w:val="es-CL"/>
        </w:rPr>
      </w:pPr>
      <w:r>
        <w:rPr>
          <w:sz w:val="22"/>
          <w:szCs w:val="22"/>
          <w:lang w:val="es-CL"/>
        </w:rPr>
        <w:t xml:space="preserve">A continuación, se </w:t>
      </w:r>
      <w:r w:rsidR="00F008E6">
        <w:rPr>
          <w:sz w:val="22"/>
          <w:szCs w:val="22"/>
          <w:lang w:val="es-CL"/>
        </w:rPr>
        <w:t>analiza brevemente el contenido de los 2 principales documentos elaborados a la fecha</w:t>
      </w:r>
      <w:r w:rsidR="00ED6568">
        <w:rPr>
          <w:sz w:val="22"/>
          <w:szCs w:val="22"/>
          <w:lang w:val="es-CL"/>
        </w:rPr>
        <w:t xml:space="preserve"> en el país</w:t>
      </w:r>
      <w:r w:rsidR="00F008E6">
        <w:rPr>
          <w:sz w:val="22"/>
          <w:szCs w:val="22"/>
          <w:lang w:val="es-CL"/>
        </w:rPr>
        <w:t xml:space="preserve"> que entregan información relevante para la elaboración de una estrategia de implementación del GHS.</w:t>
      </w:r>
    </w:p>
    <w:p w:rsidR="00E54B8F" w:rsidRPr="00BE6EEE" w:rsidRDefault="00E54B8F" w:rsidP="00424527">
      <w:pPr>
        <w:pStyle w:val="Heading3"/>
        <w:ind w:left="709"/>
      </w:pPr>
      <w:bookmarkStart w:id="43" w:name="_Toc388552071"/>
      <w:bookmarkStart w:id="44" w:name="_Toc418168867"/>
      <w:r w:rsidRPr="00BE6EEE">
        <w:t>Perfil Químico Nacional</w:t>
      </w:r>
      <w:bookmarkEnd w:id="43"/>
      <w:bookmarkEnd w:id="44"/>
      <w:r w:rsidRPr="00BE6EEE">
        <w:t xml:space="preserve"> </w:t>
      </w:r>
    </w:p>
    <w:p w:rsidR="00E54B8F" w:rsidRPr="00E54B8F" w:rsidRDefault="00E54B8F" w:rsidP="00424527">
      <w:pPr>
        <w:jc w:val="both"/>
        <w:rPr>
          <w:sz w:val="22"/>
          <w:szCs w:val="22"/>
        </w:rPr>
      </w:pPr>
      <w:r w:rsidRPr="00E54B8F">
        <w:rPr>
          <w:sz w:val="22"/>
          <w:szCs w:val="22"/>
        </w:rPr>
        <w:t xml:space="preserve">Como se mencionó anteriormente, una parte importante de elaborar una estrategia de implementación es efectuar un análisis de situación actual. El año 2008, el Ministerio de Medio Ambiente realizó la actualización del Perfil Nacional Químico. Este documento proporciona una descripción comprehensiva y una evaluación de la infraestructura legal, institucional, administrativa y técnica existente en Chile relacionada con la gestión racional de productos químicos incluyendo una evaluación de las capacidades, documento que puede considerarse como el punto de partida para la obtención de información para el análisis de situación en temas como: </w:t>
      </w:r>
    </w:p>
    <w:p w:rsidR="00E54B8F" w:rsidRPr="00E54B8F" w:rsidRDefault="00E54B8F" w:rsidP="00D4302C">
      <w:pPr>
        <w:pStyle w:val="ListParagraph"/>
        <w:numPr>
          <w:ilvl w:val="0"/>
          <w:numId w:val="43"/>
        </w:numPr>
        <w:ind w:right="369"/>
        <w:jc w:val="both"/>
        <w:rPr>
          <w:sz w:val="22"/>
          <w:szCs w:val="22"/>
        </w:rPr>
      </w:pPr>
      <w:r w:rsidRPr="00E54B8F">
        <w:rPr>
          <w:sz w:val="22"/>
          <w:szCs w:val="22"/>
        </w:rPr>
        <w:t>Producción nacional de sustancias y/o mezclas químicas</w:t>
      </w:r>
    </w:p>
    <w:p w:rsidR="00E54B8F" w:rsidRPr="00E54B8F" w:rsidRDefault="00E54B8F" w:rsidP="00D4302C">
      <w:pPr>
        <w:pStyle w:val="ListParagraph"/>
        <w:numPr>
          <w:ilvl w:val="0"/>
          <w:numId w:val="43"/>
        </w:numPr>
        <w:ind w:right="369"/>
        <w:jc w:val="both"/>
        <w:rPr>
          <w:sz w:val="22"/>
          <w:szCs w:val="22"/>
        </w:rPr>
      </w:pPr>
      <w:r w:rsidRPr="00E54B8F">
        <w:rPr>
          <w:sz w:val="22"/>
          <w:szCs w:val="22"/>
        </w:rPr>
        <w:t>Importación o exportación de sustancias y/o mezclas químicas</w:t>
      </w:r>
    </w:p>
    <w:p w:rsidR="00E54B8F" w:rsidRPr="00E54B8F" w:rsidRDefault="00E54B8F" w:rsidP="00D4302C">
      <w:pPr>
        <w:pStyle w:val="ListParagraph"/>
        <w:numPr>
          <w:ilvl w:val="0"/>
          <w:numId w:val="43"/>
        </w:numPr>
        <w:ind w:right="369"/>
        <w:jc w:val="both"/>
        <w:rPr>
          <w:sz w:val="22"/>
          <w:szCs w:val="22"/>
        </w:rPr>
      </w:pPr>
      <w:r w:rsidRPr="00E54B8F">
        <w:rPr>
          <w:sz w:val="22"/>
          <w:szCs w:val="22"/>
        </w:rPr>
        <w:t>Tendencias nacionales en el uso de productos químicos</w:t>
      </w:r>
    </w:p>
    <w:p w:rsidR="00E54B8F" w:rsidRPr="00E54B8F" w:rsidRDefault="00E54B8F" w:rsidP="00D4302C">
      <w:pPr>
        <w:pStyle w:val="ListParagraph"/>
        <w:numPr>
          <w:ilvl w:val="0"/>
          <w:numId w:val="43"/>
        </w:numPr>
        <w:ind w:right="369"/>
        <w:jc w:val="both"/>
        <w:rPr>
          <w:sz w:val="22"/>
          <w:szCs w:val="22"/>
        </w:rPr>
      </w:pPr>
      <w:r w:rsidRPr="00E54B8F">
        <w:rPr>
          <w:sz w:val="22"/>
          <w:szCs w:val="22"/>
        </w:rPr>
        <w:t>Grupos (sectores) expuestos a peligros químicos</w:t>
      </w:r>
    </w:p>
    <w:p w:rsidR="00E54B8F" w:rsidRPr="00E54B8F" w:rsidRDefault="00E54B8F" w:rsidP="00D4302C">
      <w:pPr>
        <w:pStyle w:val="ListParagraph"/>
        <w:numPr>
          <w:ilvl w:val="0"/>
          <w:numId w:val="43"/>
        </w:numPr>
        <w:ind w:right="369"/>
        <w:jc w:val="both"/>
        <w:rPr>
          <w:sz w:val="22"/>
          <w:szCs w:val="22"/>
        </w:rPr>
      </w:pPr>
      <w:r w:rsidRPr="00E54B8F">
        <w:rPr>
          <w:sz w:val="22"/>
          <w:szCs w:val="22"/>
        </w:rPr>
        <w:t>Fuentes de información disponibles sobre gestión de riesgos químicos y comunicación de peligros químicos.</w:t>
      </w:r>
    </w:p>
    <w:p w:rsidR="00E54B8F" w:rsidRPr="00B84D27" w:rsidRDefault="00E54B8F" w:rsidP="00606EAC">
      <w:pPr>
        <w:jc w:val="both"/>
        <w:rPr>
          <w:sz w:val="22"/>
          <w:szCs w:val="22"/>
        </w:rPr>
      </w:pPr>
      <w:bookmarkStart w:id="45" w:name="_Toc388552072"/>
      <w:r w:rsidRPr="00B84D27">
        <w:rPr>
          <w:sz w:val="22"/>
          <w:szCs w:val="22"/>
        </w:rPr>
        <w:t>Dentro de las conclusiones plasmadas en el Perfil se destaca, por ejemplo con respe</w:t>
      </w:r>
      <w:r w:rsidR="00ED6568">
        <w:rPr>
          <w:sz w:val="22"/>
          <w:szCs w:val="22"/>
        </w:rPr>
        <w:t>cto a preocupaciones prioritaria</w:t>
      </w:r>
      <w:r w:rsidRPr="00B84D27">
        <w:rPr>
          <w:sz w:val="22"/>
          <w:szCs w:val="22"/>
        </w:rPr>
        <w:t>s relativas al uso de sustancias químicas (Capitulo 3) que:</w:t>
      </w:r>
      <w:bookmarkEnd w:id="45"/>
    </w:p>
    <w:p w:rsidR="00E54B8F" w:rsidRPr="00B84D27" w:rsidRDefault="00E54B8F" w:rsidP="00D4302C">
      <w:pPr>
        <w:pStyle w:val="ListParagraph"/>
        <w:numPr>
          <w:ilvl w:val="0"/>
          <w:numId w:val="44"/>
        </w:numPr>
        <w:jc w:val="both"/>
        <w:rPr>
          <w:i/>
          <w:sz w:val="22"/>
          <w:szCs w:val="22"/>
        </w:rPr>
      </w:pPr>
      <w:bookmarkStart w:id="46" w:name="_Toc388552073"/>
      <w:r w:rsidRPr="00B84D27">
        <w:rPr>
          <w:i/>
          <w:sz w:val="22"/>
          <w:szCs w:val="22"/>
        </w:rPr>
        <w:t>Insuficiente información al usuario de las sustancias químicas peligrosas y de su adecuado manejo a nivel del consumidor. Se debe destacar que Chile cuenta con el Derecho A Saber normado en el Art. 21 del D.S N° 40/69 del Ministerio del trabajo, Reglamento sobre Previsión de Riesgos Laborales y que indica que es obligación del empleador informar oportuna y convenientemente a todos sus trabajadores contratados acerca de los riesgos que entrañan sus labores o las labores para las cuales han sido contratados.</w:t>
      </w:r>
      <w:bookmarkEnd w:id="46"/>
    </w:p>
    <w:p w:rsidR="00E54B8F" w:rsidRPr="00B84D27" w:rsidRDefault="00E54B8F" w:rsidP="00D4302C">
      <w:pPr>
        <w:pStyle w:val="ListParagraph"/>
        <w:numPr>
          <w:ilvl w:val="0"/>
          <w:numId w:val="44"/>
        </w:numPr>
        <w:jc w:val="both"/>
        <w:rPr>
          <w:i/>
          <w:sz w:val="22"/>
          <w:szCs w:val="22"/>
        </w:rPr>
      </w:pPr>
      <w:bookmarkStart w:id="47" w:name="_Toc388552074"/>
      <w:r w:rsidRPr="00B84D27">
        <w:rPr>
          <w:i/>
          <w:sz w:val="22"/>
          <w:szCs w:val="22"/>
        </w:rPr>
        <w:t>Falta normativa respecto al etiquetado de las sustancias peligrosas, con exclusión del etiquetado de plaguicidas.</w:t>
      </w:r>
      <w:bookmarkEnd w:id="47"/>
    </w:p>
    <w:p w:rsidR="00E54B8F" w:rsidRPr="00B84D27" w:rsidRDefault="00E54B8F" w:rsidP="00D4302C">
      <w:pPr>
        <w:pStyle w:val="ListParagraph"/>
        <w:numPr>
          <w:ilvl w:val="0"/>
          <w:numId w:val="44"/>
        </w:numPr>
        <w:jc w:val="both"/>
        <w:rPr>
          <w:i/>
          <w:sz w:val="22"/>
          <w:szCs w:val="22"/>
        </w:rPr>
      </w:pPr>
      <w:bookmarkStart w:id="48" w:name="_Toc388552075"/>
      <w:r w:rsidRPr="00B84D27">
        <w:rPr>
          <w:i/>
          <w:sz w:val="22"/>
          <w:szCs w:val="22"/>
        </w:rPr>
        <w:t>Falta de capacitación, educación y promoción respecto a las regulaciones vigentes sobre sustancias químicas peligrosas y riesgos asociados a ellas.</w:t>
      </w:r>
      <w:bookmarkEnd w:id="48"/>
    </w:p>
    <w:p w:rsidR="00E54B8F" w:rsidRDefault="00E54B8F" w:rsidP="00606EAC">
      <w:pPr>
        <w:jc w:val="both"/>
        <w:rPr>
          <w:sz w:val="22"/>
          <w:szCs w:val="22"/>
        </w:rPr>
      </w:pPr>
      <w:r w:rsidRPr="00B84D27">
        <w:rPr>
          <w:sz w:val="22"/>
          <w:szCs w:val="22"/>
        </w:rPr>
        <w:t xml:space="preserve">Adicionalmente, en el Capítulo 5 se detallan las responsabilidades y atribuciones legales de diferentes organismos del Estado durante el ciclo de vida de las sustancias químicas, destacándose el rol regulador, de fiscalización y control de distintos Ministerios y Comisiones gubernamentales sobre la gestión de ellas y sus residuos.  </w:t>
      </w:r>
    </w:p>
    <w:p w:rsidR="008F48EE" w:rsidRPr="00E54B8F" w:rsidRDefault="008F48EE" w:rsidP="00424527">
      <w:pPr>
        <w:pStyle w:val="Heading3"/>
        <w:ind w:left="709"/>
      </w:pPr>
      <w:bookmarkStart w:id="49" w:name="_Toc388552078"/>
      <w:bookmarkStart w:id="50" w:name="_Toc418168868"/>
      <w:r w:rsidRPr="00E54B8F">
        <w:t>Análisis de vacíos legales (MINSAL, 2013)</w:t>
      </w:r>
      <w:bookmarkEnd w:id="49"/>
      <w:bookmarkEnd w:id="50"/>
    </w:p>
    <w:p w:rsidR="008F48EE" w:rsidRPr="00E54B8F" w:rsidRDefault="008F48EE" w:rsidP="00424527">
      <w:pPr>
        <w:jc w:val="both"/>
        <w:rPr>
          <w:sz w:val="22"/>
          <w:szCs w:val="22"/>
        </w:rPr>
      </w:pPr>
      <w:r w:rsidRPr="00E54B8F">
        <w:rPr>
          <w:sz w:val="22"/>
          <w:szCs w:val="22"/>
        </w:rPr>
        <w:t>El objetivo de este análisis fue elaborar un diagnóstico de la legislación nacional vigente relacionada con la clasificación, etiquetado y hojas de seguridad de las sustancias químicas peligrosas, identificando vacíos y propuestas para la implementación del GHS. Para ello se realizó una revisión bibliográfica del marco normativo en Chile sobre sustancias peligrosas y un análisis del mismo en la implementación del GHS en algunos países.</w:t>
      </w:r>
    </w:p>
    <w:p w:rsidR="008F48EE" w:rsidRPr="00E54B8F" w:rsidRDefault="00ED6568" w:rsidP="00424527">
      <w:pPr>
        <w:tabs>
          <w:tab w:val="left" w:pos="9923"/>
        </w:tabs>
        <w:jc w:val="both"/>
        <w:rPr>
          <w:sz w:val="22"/>
          <w:szCs w:val="22"/>
        </w:rPr>
      </w:pPr>
      <w:r>
        <w:rPr>
          <w:sz w:val="22"/>
          <w:szCs w:val="22"/>
        </w:rPr>
        <w:t xml:space="preserve">Como resultado, </w:t>
      </w:r>
      <w:r w:rsidR="008F48EE" w:rsidRPr="00E54B8F">
        <w:rPr>
          <w:sz w:val="22"/>
          <w:szCs w:val="22"/>
        </w:rPr>
        <w:t xml:space="preserve">se identificaron vacíos regulatorios cuantitativos en los sectores industriales (en disposición y producción) y a nivel de consumidores (manejo, almacenamiento, uso y disposición) en relación al ciclo de vida de las sustancias químicas. Respecto a instrumentos en los ámbitos de clasificación, etiquetado y hojas de seguridad, se identificó que las regulaciones nacionales cubren diversos aspectos en clasificación, pero se reportan vacíos en etiquetados y hojas de seguridad en el sector minero e industrial mientras que el sector de los consumidores reporta brechas en todos los instrumentos. </w:t>
      </w:r>
    </w:p>
    <w:p w:rsidR="000C3606" w:rsidRDefault="008F48EE" w:rsidP="000C3606">
      <w:pPr>
        <w:autoSpaceDE w:val="0"/>
        <w:autoSpaceDN w:val="0"/>
        <w:adjustRightInd w:val="0"/>
        <w:jc w:val="both"/>
        <w:rPr>
          <w:sz w:val="22"/>
          <w:szCs w:val="22"/>
        </w:rPr>
      </w:pPr>
      <w:r w:rsidRPr="000C3606">
        <w:rPr>
          <w:sz w:val="22"/>
          <w:szCs w:val="22"/>
        </w:rPr>
        <w:t>De acuerdo a las experiencias internacionales</w:t>
      </w:r>
      <w:r w:rsidR="00F008E6" w:rsidRPr="000C3606">
        <w:rPr>
          <w:sz w:val="22"/>
          <w:szCs w:val="22"/>
        </w:rPr>
        <w:t xml:space="preserve"> analizadas en el informe</w:t>
      </w:r>
      <w:r w:rsidRPr="000C3606">
        <w:rPr>
          <w:sz w:val="22"/>
          <w:szCs w:val="22"/>
        </w:rPr>
        <w:t>, en particular, de Brasil, se plantea que la propuesta para Chile se base en la modificación de la legislación existente para incorporar el documento del GHS por referencia, para lo</w:t>
      </w:r>
      <w:r w:rsidR="00ED6568" w:rsidRPr="000C3606">
        <w:rPr>
          <w:sz w:val="22"/>
          <w:szCs w:val="22"/>
        </w:rPr>
        <w:t xml:space="preserve"> cual es recomendable realizar nuevos</w:t>
      </w:r>
      <w:r w:rsidRPr="000C3606">
        <w:rPr>
          <w:sz w:val="22"/>
          <w:szCs w:val="22"/>
        </w:rPr>
        <w:t xml:space="preserve"> estudios de la regulación vigente que revisen lo existente</w:t>
      </w:r>
      <w:r w:rsidR="00ED6568" w:rsidRPr="000C3606">
        <w:rPr>
          <w:sz w:val="22"/>
          <w:szCs w:val="22"/>
        </w:rPr>
        <w:t>,</w:t>
      </w:r>
      <w:r w:rsidRPr="000C3606">
        <w:rPr>
          <w:sz w:val="22"/>
          <w:szCs w:val="22"/>
        </w:rPr>
        <w:t xml:space="preserve"> bajo el modelo de un reglamento específico que establezca el sistema GHS como referencia para todas las regulaciones existentes y las futuras. Además, se sugiere desarrollar la estrategia bajo el principio de “</w:t>
      </w:r>
      <w:r w:rsidRPr="000C3606">
        <w:rPr>
          <w:i/>
          <w:sz w:val="22"/>
          <w:szCs w:val="22"/>
        </w:rPr>
        <w:t>Enfoque mediante módulos</w:t>
      </w:r>
      <w:r w:rsidRPr="000C3606">
        <w:rPr>
          <w:sz w:val="22"/>
          <w:szCs w:val="22"/>
        </w:rPr>
        <w:t>” en 2 etapas de implementación a mediano y largo plazo (2 y 5 años respectivamente), por lo que es necesario analizar detalladamente los módulos que conformarían esta estrategia de acuerdo al estudio técnico de la situación actual</w:t>
      </w:r>
      <w:r w:rsidR="000C3606" w:rsidRPr="000C3606">
        <w:rPr>
          <w:sz w:val="22"/>
          <w:szCs w:val="22"/>
        </w:rPr>
        <w:t>.</w:t>
      </w:r>
    </w:p>
    <w:p w:rsidR="006D0FB7" w:rsidRPr="000C3606" w:rsidRDefault="006D0FB7" w:rsidP="000C3606">
      <w:pPr>
        <w:autoSpaceDE w:val="0"/>
        <w:autoSpaceDN w:val="0"/>
        <w:adjustRightInd w:val="0"/>
        <w:jc w:val="both"/>
        <w:rPr>
          <w:sz w:val="22"/>
          <w:szCs w:val="22"/>
          <w:highlight w:val="yellow"/>
          <w:lang w:val="es-CL"/>
        </w:rPr>
      </w:pPr>
    </w:p>
    <w:p w:rsidR="007B4DAE" w:rsidRDefault="009E3D3D" w:rsidP="00424527">
      <w:pPr>
        <w:pStyle w:val="Heading2"/>
        <w:spacing w:before="0" w:after="180"/>
        <w:ind w:left="0" w:firstLine="0"/>
        <w:jc w:val="both"/>
        <w:rPr>
          <w:lang w:val="es-CL"/>
        </w:rPr>
      </w:pPr>
      <w:bookmarkStart w:id="51" w:name="_Toc418168869"/>
      <w:r>
        <w:rPr>
          <w:lang w:val="es-CL"/>
        </w:rPr>
        <w:t>Experiencias internacionales sobre implementación del GHS</w:t>
      </w:r>
      <w:bookmarkEnd w:id="51"/>
    </w:p>
    <w:p w:rsidR="00B54810" w:rsidRPr="00ED6568" w:rsidRDefault="00B54810" w:rsidP="00606EAC">
      <w:pPr>
        <w:autoSpaceDE w:val="0"/>
        <w:autoSpaceDN w:val="0"/>
        <w:adjustRightInd w:val="0"/>
        <w:jc w:val="both"/>
        <w:rPr>
          <w:rFonts w:cs="LucidaSansUnicode"/>
          <w:kern w:val="0"/>
          <w:sz w:val="22"/>
          <w:szCs w:val="22"/>
          <w:lang w:val="es-ES"/>
        </w:rPr>
      </w:pPr>
      <w:r w:rsidRPr="00ED6568">
        <w:rPr>
          <w:sz w:val="22"/>
          <w:szCs w:val="22"/>
        </w:rPr>
        <w:t xml:space="preserve">Se realizó una recopilación de información vinculada a la implementación del sistema GHS en distintos países a nivel mundial con el fin de identificar </w:t>
      </w:r>
      <w:r w:rsidR="00145281">
        <w:rPr>
          <w:sz w:val="22"/>
          <w:szCs w:val="22"/>
        </w:rPr>
        <w:t>los</w:t>
      </w:r>
      <w:r w:rsidRPr="00ED6568">
        <w:rPr>
          <w:sz w:val="22"/>
          <w:szCs w:val="22"/>
        </w:rPr>
        <w:t xml:space="preserve"> aspectos técnicos, estrategias y resultados obtenidos en cada caso. La búsqueda se realizó en buscadores de internet bajo el parámetro de “estatus de implementación del GHS” en países de distintas regiones, obteniéndose información técnica y legal principalmente desde reportes realizados por empresas consultoras, por organismos internacionales como OCDE y UNECE (United Nations Economic Commision for Europe) y desde sus páginas Web respectivas. Los resultados de esta recopilación de información son presentados por región, priorizando aquellos países donde el sistema GHS ya se encuentra implementado. </w:t>
      </w:r>
      <w:r w:rsidR="009E3D3D" w:rsidRPr="00ED6568">
        <w:rPr>
          <w:sz w:val="22"/>
          <w:szCs w:val="22"/>
        </w:rPr>
        <w:t>Adicionalmente, se presenta un análisis más profundo y crítico para 3 países/regiones en particular: México, Estados Unidos y Unión Europea</w:t>
      </w:r>
      <w:r w:rsidR="00145281">
        <w:rPr>
          <w:sz w:val="22"/>
          <w:szCs w:val="22"/>
        </w:rPr>
        <w:t>,</w:t>
      </w:r>
      <w:r w:rsidR="009E3D3D" w:rsidRPr="00ED6568">
        <w:rPr>
          <w:sz w:val="22"/>
          <w:szCs w:val="22"/>
        </w:rPr>
        <w:t xml:space="preserve"> </w:t>
      </w:r>
      <w:r w:rsidR="009E3D3D" w:rsidRPr="00ED6568">
        <w:rPr>
          <w:rFonts w:cs="LucidaSansUnicode"/>
          <w:kern w:val="0"/>
          <w:sz w:val="22"/>
          <w:szCs w:val="22"/>
          <w:lang w:val="es-ES"/>
        </w:rPr>
        <w:t>como ejemplo de países que están o han finalizado su período de transición en la implementación del GHS.</w:t>
      </w:r>
    </w:p>
    <w:p w:rsidR="00B54810" w:rsidRDefault="00B54810" w:rsidP="00424527">
      <w:pPr>
        <w:pStyle w:val="Heading3"/>
        <w:ind w:left="709"/>
      </w:pPr>
      <w:bookmarkStart w:id="52" w:name="_Toc388552080"/>
      <w:bookmarkStart w:id="53" w:name="_Toc418168870"/>
      <w:r>
        <w:t>Latinoamérica</w:t>
      </w:r>
      <w:bookmarkEnd w:id="52"/>
      <w:bookmarkEnd w:id="53"/>
    </w:p>
    <w:p w:rsidR="00B54810" w:rsidRDefault="00B54810" w:rsidP="00424527">
      <w:pPr>
        <w:spacing w:line="240" w:lineRule="auto"/>
        <w:jc w:val="both"/>
      </w:pPr>
      <w:r w:rsidRPr="00145281">
        <w:rPr>
          <w:sz w:val="22"/>
          <w:szCs w:val="22"/>
        </w:rPr>
        <w:t xml:space="preserve">En Latinoamérica, 4 países han implementado el GHS a la fecha: Brasil (2009), Uruguay (2009), México (2011) y Ecuador (2013), mientras que otros como Argentina, Colombia, Costa Rica, Perú y Paraguay se encuentran en proceso de desarrollo de sus estrategias de implementación.  A continuación se presentan los aspectos técnicos y jurídicos </w:t>
      </w:r>
      <w:r w:rsidR="001C7D88" w:rsidRPr="00145281">
        <w:rPr>
          <w:sz w:val="22"/>
          <w:szCs w:val="22"/>
        </w:rPr>
        <w:t xml:space="preserve">generales </w:t>
      </w:r>
      <w:r w:rsidRPr="00145281">
        <w:rPr>
          <w:sz w:val="22"/>
          <w:szCs w:val="22"/>
        </w:rPr>
        <w:t>de las estrategias de Uruguay y Brasil</w:t>
      </w:r>
      <w:r w:rsidR="001C7D88" w:rsidRPr="00145281">
        <w:rPr>
          <w:sz w:val="22"/>
          <w:szCs w:val="22"/>
        </w:rPr>
        <w:t xml:space="preserve"> y </w:t>
      </w:r>
      <w:r w:rsidR="00145281">
        <w:rPr>
          <w:sz w:val="22"/>
          <w:szCs w:val="22"/>
        </w:rPr>
        <w:t xml:space="preserve">además, </w:t>
      </w:r>
      <w:r w:rsidR="001C7D88" w:rsidRPr="00145281">
        <w:rPr>
          <w:sz w:val="22"/>
          <w:szCs w:val="22"/>
        </w:rPr>
        <w:t>el análisis en detalle de la situación en México, países</w:t>
      </w:r>
      <w:r w:rsidRPr="00145281">
        <w:rPr>
          <w:sz w:val="22"/>
          <w:szCs w:val="22"/>
        </w:rPr>
        <w:t xml:space="preserve"> donde su aplicación es de carácter obligatorio.</w:t>
      </w:r>
      <w:r w:rsidR="009E3D3D">
        <w:t xml:space="preserve"> </w:t>
      </w:r>
    </w:p>
    <w:p w:rsidR="00B54810" w:rsidRPr="002D4486" w:rsidRDefault="00890F84" w:rsidP="00424527">
      <w:pPr>
        <w:pStyle w:val="Heading4"/>
        <w:spacing w:before="0" w:after="180"/>
        <w:ind w:left="851" w:hanging="862"/>
        <w:rPr>
          <w:b/>
          <w:i/>
          <w:caps w:val="0"/>
        </w:rPr>
      </w:pPr>
      <w:bookmarkStart w:id="54" w:name="_Toc388552081"/>
      <w:r w:rsidRPr="002D4486">
        <w:rPr>
          <w:b/>
          <w:i/>
          <w:caps w:val="0"/>
        </w:rPr>
        <w:t xml:space="preserve"> </w:t>
      </w:r>
      <w:bookmarkStart w:id="55" w:name="_Toc418168871"/>
      <w:r w:rsidR="00B54810" w:rsidRPr="002D4486">
        <w:rPr>
          <w:b/>
          <w:i/>
          <w:caps w:val="0"/>
        </w:rPr>
        <w:t>Uruguay</w:t>
      </w:r>
      <w:bookmarkEnd w:id="54"/>
      <w:bookmarkEnd w:id="55"/>
    </w:p>
    <w:tbl>
      <w:tblPr>
        <w:tblStyle w:val="Listaclara-nfasis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7700"/>
      </w:tblGrid>
      <w:tr w:rsidR="00B54810" w:rsidRPr="00145281" w:rsidTr="004245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6" w:type="pct"/>
          </w:tcPr>
          <w:p w:rsidR="00B54810" w:rsidRPr="00145281" w:rsidRDefault="00B54810" w:rsidP="00145281">
            <w:pPr>
              <w:spacing w:line="240" w:lineRule="auto"/>
              <w:rPr>
                <w:rFonts w:asciiTheme="minorHAnsi" w:hAnsiTheme="minorHAnsi"/>
              </w:rPr>
            </w:pPr>
            <w:r w:rsidRPr="00145281">
              <w:rPr>
                <w:rFonts w:asciiTheme="minorHAnsi" w:hAnsiTheme="minorHAnsi"/>
              </w:rPr>
              <w:t>Encargado</w:t>
            </w:r>
          </w:p>
        </w:tc>
        <w:tc>
          <w:tcPr>
            <w:tcW w:w="3884" w:type="pct"/>
          </w:tcPr>
          <w:p w:rsidR="00B54810" w:rsidRPr="00145281" w:rsidRDefault="00B54810" w:rsidP="00145281">
            <w:pPr>
              <w:spacing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rPr>
            </w:pPr>
            <w:r w:rsidRPr="00145281">
              <w:rPr>
                <w:rFonts w:asciiTheme="minorHAnsi" w:hAnsiTheme="minorHAnsi"/>
              </w:rPr>
              <w:t>Ministerio del Trabajo y Seguridad Social</w:t>
            </w:r>
          </w:p>
        </w:tc>
      </w:tr>
      <w:tr w:rsidR="00B54810" w:rsidRPr="00145281" w:rsidTr="004245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6" w:type="pct"/>
            <w:tcBorders>
              <w:top w:val="none" w:sz="0" w:space="0" w:color="auto"/>
              <w:left w:val="none" w:sz="0" w:space="0" w:color="auto"/>
              <w:bottom w:val="none" w:sz="0" w:space="0" w:color="auto"/>
            </w:tcBorders>
          </w:tcPr>
          <w:p w:rsidR="00B54810" w:rsidRPr="00145281" w:rsidRDefault="00B54810" w:rsidP="00145281">
            <w:pPr>
              <w:spacing w:line="240" w:lineRule="auto"/>
              <w:rPr>
                <w:rFonts w:asciiTheme="minorHAnsi" w:hAnsiTheme="minorHAnsi"/>
              </w:rPr>
            </w:pPr>
            <w:r w:rsidRPr="00145281">
              <w:rPr>
                <w:rFonts w:asciiTheme="minorHAnsi" w:hAnsiTheme="minorHAnsi"/>
              </w:rPr>
              <w:t xml:space="preserve">Principales participantes </w:t>
            </w:r>
          </w:p>
        </w:tc>
        <w:tc>
          <w:tcPr>
            <w:tcW w:w="3884" w:type="pct"/>
            <w:tcBorders>
              <w:top w:val="none" w:sz="0" w:space="0" w:color="auto"/>
              <w:bottom w:val="none" w:sz="0" w:space="0" w:color="auto"/>
              <w:right w:val="none" w:sz="0" w:space="0" w:color="auto"/>
            </w:tcBorders>
          </w:tcPr>
          <w:p w:rsidR="00B54810" w:rsidRPr="00145281" w:rsidRDefault="00B54810" w:rsidP="00145281">
            <w:pPr>
              <w:spacing w:line="240"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kern w:val="24"/>
              </w:rPr>
            </w:pPr>
            <w:r w:rsidRPr="00145281">
              <w:rPr>
                <w:rFonts w:asciiTheme="minorHAnsi" w:eastAsiaTheme="minorHAnsi" w:hAnsiTheme="minorHAnsi"/>
                <w:kern w:val="24"/>
              </w:rPr>
              <w:t>PIT-CNT (Plenario Intersindical de Trabajadores-Convención Nacional de Trabajadores), ASIQUR (Asociación de Industrias Químicas del Uruguay).</w:t>
            </w:r>
          </w:p>
        </w:tc>
      </w:tr>
      <w:tr w:rsidR="00B54810" w:rsidRPr="00145281" w:rsidTr="00424527">
        <w:tc>
          <w:tcPr>
            <w:cnfStyle w:val="001000000000" w:firstRow="0" w:lastRow="0" w:firstColumn="1" w:lastColumn="0" w:oddVBand="0" w:evenVBand="0" w:oddHBand="0" w:evenHBand="0" w:firstRowFirstColumn="0" w:firstRowLastColumn="0" w:lastRowFirstColumn="0" w:lastRowLastColumn="0"/>
            <w:tcW w:w="1116" w:type="pct"/>
          </w:tcPr>
          <w:p w:rsidR="00B54810" w:rsidRPr="00145281" w:rsidRDefault="00B54810" w:rsidP="00145281">
            <w:pPr>
              <w:spacing w:line="240" w:lineRule="auto"/>
              <w:rPr>
                <w:rFonts w:asciiTheme="minorHAnsi" w:hAnsiTheme="minorHAnsi"/>
              </w:rPr>
            </w:pPr>
            <w:r w:rsidRPr="00145281">
              <w:rPr>
                <w:rFonts w:asciiTheme="minorHAnsi" w:hAnsiTheme="minorHAnsi"/>
              </w:rPr>
              <w:t>Antecedentes</w:t>
            </w:r>
          </w:p>
        </w:tc>
        <w:tc>
          <w:tcPr>
            <w:tcW w:w="3884" w:type="pct"/>
          </w:tcPr>
          <w:p w:rsidR="00B54810" w:rsidRPr="00145281" w:rsidRDefault="00B54810" w:rsidP="00145281">
            <w:pPr>
              <w:spacing w:line="240"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kern w:val="24"/>
              </w:rPr>
            </w:pPr>
            <w:r w:rsidRPr="00145281">
              <w:rPr>
                <w:rFonts w:asciiTheme="minorHAnsi" w:eastAsiaTheme="minorHAnsi" w:hAnsiTheme="minorHAnsi"/>
                <w:kern w:val="24"/>
                <w:u w:val="single"/>
              </w:rPr>
              <w:t>2005-2008:</w:t>
            </w:r>
            <w:r w:rsidRPr="00145281">
              <w:rPr>
                <w:rFonts w:asciiTheme="minorHAnsi" w:eastAsiaTheme="minorHAnsi" w:hAnsiTheme="minorHAnsi"/>
                <w:kern w:val="24"/>
              </w:rPr>
              <w:t xml:space="preserve"> Establecimiento del sistema GHS como prioridad durante el proceso de el</w:t>
            </w:r>
            <w:r w:rsidR="00145281" w:rsidRPr="00145281">
              <w:rPr>
                <w:rFonts w:asciiTheme="minorHAnsi" w:eastAsiaTheme="minorHAnsi" w:hAnsiTheme="minorHAnsi"/>
                <w:kern w:val="24"/>
              </w:rPr>
              <w:t>aboración del Plan Nacional de I</w:t>
            </w:r>
            <w:r w:rsidRPr="00145281">
              <w:rPr>
                <w:rFonts w:asciiTheme="minorHAnsi" w:eastAsiaTheme="minorHAnsi" w:hAnsiTheme="minorHAnsi"/>
                <w:kern w:val="24"/>
              </w:rPr>
              <w:t>mplementación del Convenio de Estocolmo.</w:t>
            </w:r>
          </w:p>
          <w:p w:rsidR="00B54810" w:rsidRPr="001E4394" w:rsidRDefault="00B54810" w:rsidP="00D4302C">
            <w:pPr>
              <w:pStyle w:val="ListParagraph"/>
              <w:numPr>
                <w:ilvl w:val="0"/>
                <w:numId w:val="68"/>
              </w:numPr>
              <w:spacing w:line="240" w:lineRule="auto"/>
              <w:ind w:left="289"/>
              <w:cnfStyle w:val="000000000000" w:firstRow="0" w:lastRow="0" w:firstColumn="0" w:lastColumn="0" w:oddVBand="0" w:evenVBand="0" w:oddHBand="0" w:evenHBand="0" w:firstRowFirstColumn="0" w:firstRowLastColumn="0" w:lastRowFirstColumn="0" w:lastRowLastColumn="0"/>
              <w:rPr>
                <w:rFonts w:asciiTheme="minorHAnsi" w:hAnsiTheme="minorHAnsi"/>
                <w:kern w:val="24"/>
              </w:rPr>
            </w:pPr>
            <w:r w:rsidRPr="001E4394">
              <w:rPr>
                <w:rFonts w:asciiTheme="minorHAnsi" w:hAnsiTheme="minorHAnsi"/>
                <w:kern w:val="24"/>
              </w:rPr>
              <w:t>Taller nacional sobre comunicación de peligros químicos.</w:t>
            </w:r>
          </w:p>
          <w:p w:rsidR="00B54810" w:rsidRPr="001E4394" w:rsidRDefault="00B54810" w:rsidP="00D4302C">
            <w:pPr>
              <w:pStyle w:val="ListParagraph"/>
              <w:numPr>
                <w:ilvl w:val="0"/>
                <w:numId w:val="68"/>
              </w:numPr>
              <w:spacing w:line="240" w:lineRule="auto"/>
              <w:ind w:left="289"/>
              <w:cnfStyle w:val="000000000000" w:firstRow="0" w:lastRow="0" w:firstColumn="0" w:lastColumn="0" w:oddVBand="0" w:evenVBand="0" w:oddHBand="0" w:evenHBand="0" w:firstRowFirstColumn="0" w:firstRowLastColumn="0" w:lastRowFirstColumn="0" w:lastRowLastColumn="0"/>
              <w:rPr>
                <w:kern w:val="24"/>
              </w:rPr>
            </w:pPr>
            <w:r w:rsidRPr="001E4394">
              <w:rPr>
                <w:rFonts w:asciiTheme="minorHAnsi" w:hAnsiTheme="minorHAnsi"/>
                <w:kern w:val="24"/>
              </w:rPr>
              <w:t>Proyecto de Cooperación Uruguay/Suiza/UNITAR, dentro del cual se presenta un informe de análisis de vacíos, necesario para la Implementación de GHS en Uruguay.</w:t>
            </w:r>
          </w:p>
        </w:tc>
      </w:tr>
      <w:tr w:rsidR="00B54810" w:rsidRPr="00145281" w:rsidTr="004245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6" w:type="pct"/>
            <w:tcBorders>
              <w:top w:val="none" w:sz="0" w:space="0" w:color="auto"/>
              <w:left w:val="none" w:sz="0" w:space="0" w:color="auto"/>
              <w:bottom w:val="none" w:sz="0" w:space="0" w:color="auto"/>
            </w:tcBorders>
          </w:tcPr>
          <w:p w:rsidR="00B54810" w:rsidRPr="00145281" w:rsidRDefault="00B54810" w:rsidP="00F22C2B">
            <w:pPr>
              <w:spacing w:line="240" w:lineRule="auto"/>
              <w:jc w:val="left"/>
              <w:rPr>
                <w:rFonts w:asciiTheme="minorHAnsi" w:hAnsiTheme="minorHAnsi"/>
              </w:rPr>
            </w:pPr>
            <w:r w:rsidRPr="00145281">
              <w:rPr>
                <w:rFonts w:asciiTheme="minorHAnsi" w:hAnsiTheme="minorHAnsi"/>
              </w:rPr>
              <w:t>Estrategia de implementación</w:t>
            </w:r>
          </w:p>
        </w:tc>
        <w:tc>
          <w:tcPr>
            <w:tcW w:w="3884" w:type="pct"/>
            <w:tcBorders>
              <w:top w:val="none" w:sz="0" w:space="0" w:color="auto"/>
              <w:bottom w:val="none" w:sz="0" w:space="0" w:color="auto"/>
              <w:right w:val="none" w:sz="0" w:space="0" w:color="auto"/>
            </w:tcBorders>
          </w:tcPr>
          <w:p w:rsidR="00B54810" w:rsidRPr="00145281" w:rsidRDefault="00B54810" w:rsidP="00145281">
            <w:pPr>
              <w:spacing w:line="240"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kern w:val="24"/>
              </w:rPr>
            </w:pPr>
            <w:r w:rsidRPr="00145281">
              <w:rPr>
                <w:rFonts w:asciiTheme="minorHAnsi" w:eastAsiaTheme="minorHAnsi" w:hAnsiTheme="minorHAnsi"/>
                <w:kern w:val="24"/>
                <w:u w:val="single"/>
              </w:rPr>
              <w:t>2009-2010:</w:t>
            </w:r>
            <w:r w:rsidRPr="00145281">
              <w:rPr>
                <w:rFonts w:asciiTheme="minorHAnsi" w:eastAsiaTheme="minorHAnsi" w:hAnsiTheme="minorHAnsi"/>
                <w:kern w:val="24"/>
              </w:rPr>
              <w:t xml:space="preserve"> Proyecto de Capacitación y Desarrollo de Capacidades para la Implementación del Sistema Globalmente Armonizado de Clasificación y Etiquetado de Productos Químicos.</w:t>
            </w:r>
          </w:p>
          <w:p w:rsidR="00B54810" w:rsidRPr="00145281" w:rsidRDefault="00B54810" w:rsidP="00145281">
            <w:pPr>
              <w:spacing w:line="240"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kern w:val="24"/>
                <w:u w:val="single"/>
              </w:rPr>
            </w:pPr>
            <w:r w:rsidRPr="00145281">
              <w:rPr>
                <w:rFonts w:asciiTheme="minorHAnsi" w:eastAsiaTheme="minorHAnsi" w:hAnsiTheme="minorHAnsi"/>
                <w:kern w:val="24"/>
                <w:u w:val="single"/>
              </w:rPr>
              <w:t>Sector Transporte:</w:t>
            </w:r>
          </w:p>
          <w:p w:rsidR="00B54810" w:rsidRPr="001E4394" w:rsidRDefault="00B54810" w:rsidP="00D4302C">
            <w:pPr>
              <w:pStyle w:val="ListParagraph"/>
              <w:numPr>
                <w:ilvl w:val="0"/>
                <w:numId w:val="69"/>
              </w:numPr>
              <w:spacing w:line="240" w:lineRule="auto"/>
              <w:ind w:left="289"/>
              <w:cnfStyle w:val="000000100000" w:firstRow="0" w:lastRow="0" w:firstColumn="0" w:lastColumn="0" w:oddVBand="0" w:evenVBand="0" w:oddHBand="1" w:evenHBand="0" w:firstRowFirstColumn="0" w:firstRowLastColumn="0" w:lastRowFirstColumn="0" w:lastRowLastColumn="0"/>
              <w:rPr>
                <w:rFonts w:asciiTheme="minorHAnsi" w:hAnsiTheme="minorHAnsi"/>
                <w:kern w:val="24"/>
              </w:rPr>
            </w:pPr>
            <w:r w:rsidRPr="001E4394">
              <w:rPr>
                <w:rFonts w:asciiTheme="minorHAnsi" w:hAnsiTheme="minorHAnsi"/>
                <w:kern w:val="24"/>
              </w:rPr>
              <w:t>Países del MERCOSUR aplican el Acuerdo sobre Transporte de Mercancías Peligrosas del año 1994 que se encuentra actualizado en base al Reglamento Modelo de las Naciones Unidas sobre transporte de productos peligrosos, que incluye la aplicación del GHS.</w:t>
            </w:r>
          </w:p>
          <w:p w:rsidR="00B54810" w:rsidRPr="00145281" w:rsidRDefault="00B54810" w:rsidP="00145281">
            <w:pPr>
              <w:spacing w:line="240"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kern w:val="24"/>
                <w:u w:val="single"/>
              </w:rPr>
            </w:pPr>
            <w:r w:rsidRPr="00145281">
              <w:rPr>
                <w:rFonts w:asciiTheme="minorHAnsi" w:eastAsiaTheme="minorHAnsi" w:hAnsiTheme="minorHAnsi"/>
                <w:kern w:val="24"/>
                <w:u w:val="single"/>
              </w:rPr>
              <w:t>Sector Industria:</w:t>
            </w:r>
          </w:p>
          <w:p w:rsidR="00B54810" w:rsidRPr="001E4394" w:rsidRDefault="00B54810" w:rsidP="00D4302C">
            <w:pPr>
              <w:pStyle w:val="ListParagraph"/>
              <w:numPr>
                <w:ilvl w:val="0"/>
                <w:numId w:val="69"/>
              </w:numPr>
              <w:spacing w:line="240" w:lineRule="auto"/>
              <w:ind w:left="289"/>
              <w:cnfStyle w:val="000000100000" w:firstRow="0" w:lastRow="0" w:firstColumn="0" w:lastColumn="0" w:oddVBand="0" w:evenVBand="0" w:oddHBand="1" w:evenHBand="0" w:firstRowFirstColumn="0" w:firstRowLastColumn="0" w:lastRowFirstColumn="0" w:lastRowLastColumn="0"/>
              <w:rPr>
                <w:rFonts w:asciiTheme="minorHAnsi" w:hAnsiTheme="minorHAnsi"/>
                <w:kern w:val="24"/>
              </w:rPr>
            </w:pPr>
            <w:r w:rsidRPr="001E4394">
              <w:rPr>
                <w:rFonts w:asciiTheme="minorHAnsi" w:hAnsiTheme="minorHAnsi"/>
                <w:kern w:val="24"/>
              </w:rPr>
              <w:t xml:space="preserve">Se aprueba el Decreto 307/009 que exige suministrar etiquetas y fichas de datos de seguridad a los productos químicos de acuerdo con el GHS en los sectores industrial, agrícola y transporte. </w:t>
            </w:r>
          </w:p>
          <w:p w:rsidR="00B54810" w:rsidRPr="001E4394" w:rsidRDefault="00B54810" w:rsidP="00D4302C">
            <w:pPr>
              <w:pStyle w:val="ListParagraph"/>
              <w:numPr>
                <w:ilvl w:val="0"/>
                <w:numId w:val="69"/>
              </w:numPr>
              <w:spacing w:line="240" w:lineRule="auto"/>
              <w:ind w:left="289"/>
              <w:cnfStyle w:val="000000100000" w:firstRow="0" w:lastRow="0" w:firstColumn="0" w:lastColumn="0" w:oddVBand="0" w:evenVBand="0" w:oddHBand="1" w:evenHBand="0" w:firstRowFirstColumn="0" w:firstRowLastColumn="0" w:lastRowFirstColumn="0" w:lastRowLastColumn="0"/>
              <w:rPr>
                <w:rFonts w:asciiTheme="minorHAnsi" w:hAnsiTheme="minorHAnsi"/>
                <w:kern w:val="24"/>
              </w:rPr>
            </w:pPr>
            <w:r w:rsidRPr="001E4394">
              <w:rPr>
                <w:rFonts w:asciiTheme="minorHAnsi" w:hAnsiTheme="minorHAnsi"/>
                <w:kern w:val="24"/>
              </w:rPr>
              <w:t>Período de transición: 1 año para disposiciones de etiquetado (Julio 2010).</w:t>
            </w:r>
          </w:p>
          <w:p w:rsidR="00B54810" w:rsidRPr="001E4394" w:rsidRDefault="00B54810" w:rsidP="00D4302C">
            <w:pPr>
              <w:pStyle w:val="ListParagraph"/>
              <w:numPr>
                <w:ilvl w:val="0"/>
                <w:numId w:val="69"/>
              </w:numPr>
              <w:spacing w:line="240" w:lineRule="auto"/>
              <w:ind w:left="289"/>
              <w:cnfStyle w:val="000000100000" w:firstRow="0" w:lastRow="0" w:firstColumn="0" w:lastColumn="0" w:oddVBand="0" w:evenVBand="0" w:oddHBand="1" w:evenHBand="0" w:firstRowFirstColumn="0" w:firstRowLastColumn="0" w:lastRowFirstColumn="0" w:lastRowLastColumn="0"/>
              <w:rPr>
                <w:rFonts w:asciiTheme="minorHAnsi" w:hAnsiTheme="minorHAnsi"/>
                <w:kern w:val="24"/>
              </w:rPr>
            </w:pPr>
            <w:r w:rsidRPr="001E4394">
              <w:rPr>
                <w:rFonts w:asciiTheme="minorHAnsi" w:hAnsiTheme="minorHAnsi"/>
                <w:kern w:val="24"/>
              </w:rPr>
              <w:t>Surge como necesidad la ejecución de Programa de Capacitación para cumplimiento del Decreto 307 dirigido a trabajadores a nivel nacional.</w:t>
            </w:r>
          </w:p>
          <w:p w:rsidR="00B54810" w:rsidRPr="00145281" w:rsidRDefault="00B54810" w:rsidP="00145281">
            <w:pPr>
              <w:spacing w:line="240"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kern w:val="24"/>
              </w:rPr>
            </w:pPr>
            <w:r w:rsidRPr="00145281">
              <w:rPr>
                <w:rFonts w:asciiTheme="minorHAnsi" w:eastAsiaTheme="minorHAnsi" w:hAnsiTheme="minorHAnsi"/>
                <w:kern w:val="24"/>
                <w:u w:val="single"/>
              </w:rPr>
              <w:t>2011:</w:t>
            </w:r>
            <w:r w:rsidRPr="00145281">
              <w:rPr>
                <w:rFonts w:asciiTheme="minorHAnsi" w:eastAsiaTheme="minorHAnsi" w:hAnsiTheme="minorHAnsi"/>
                <w:kern w:val="24"/>
              </w:rPr>
              <w:t xml:space="preserve"> Publicación del Decreto 346/011 que extiende el período de transición para la entrada en vigor de las disposiciones de etiquetado y elaboración de fichas de datos de seguridad de acuerdo con el GHS.</w:t>
            </w:r>
          </w:p>
          <w:p w:rsidR="00B54810" w:rsidRPr="00226C1B" w:rsidRDefault="00B54810" w:rsidP="00D4302C">
            <w:pPr>
              <w:pStyle w:val="ListParagraph"/>
              <w:numPr>
                <w:ilvl w:val="0"/>
                <w:numId w:val="70"/>
              </w:numPr>
              <w:spacing w:line="240" w:lineRule="auto"/>
              <w:ind w:left="289"/>
              <w:cnfStyle w:val="000000100000" w:firstRow="0" w:lastRow="0" w:firstColumn="0" w:lastColumn="0" w:oddVBand="0" w:evenVBand="0" w:oddHBand="1" w:evenHBand="0" w:firstRowFirstColumn="0" w:firstRowLastColumn="0" w:lastRowFirstColumn="0" w:lastRowLastColumn="0"/>
              <w:rPr>
                <w:rFonts w:asciiTheme="minorHAnsi" w:hAnsiTheme="minorHAnsi"/>
                <w:kern w:val="24"/>
              </w:rPr>
            </w:pPr>
            <w:r w:rsidRPr="00226C1B">
              <w:rPr>
                <w:rFonts w:asciiTheme="minorHAnsi" w:hAnsiTheme="minorHAnsi"/>
                <w:kern w:val="24"/>
              </w:rPr>
              <w:t>Para sustancias puras: Hasta 31 Diciembre 2012.</w:t>
            </w:r>
          </w:p>
          <w:p w:rsidR="00B54810" w:rsidRPr="00226C1B" w:rsidRDefault="00B54810" w:rsidP="00D4302C">
            <w:pPr>
              <w:pStyle w:val="ListParagraph"/>
              <w:numPr>
                <w:ilvl w:val="0"/>
                <w:numId w:val="70"/>
              </w:numPr>
              <w:spacing w:line="240" w:lineRule="auto"/>
              <w:ind w:left="289"/>
              <w:cnfStyle w:val="000000100000" w:firstRow="0" w:lastRow="0" w:firstColumn="0" w:lastColumn="0" w:oddVBand="0" w:evenVBand="0" w:oddHBand="1" w:evenHBand="0" w:firstRowFirstColumn="0" w:firstRowLastColumn="0" w:lastRowFirstColumn="0" w:lastRowLastColumn="0"/>
              <w:rPr>
                <w:kern w:val="24"/>
              </w:rPr>
            </w:pPr>
            <w:r w:rsidRPr="00226C1B">
              <w:rPr>
                <w:rFonts w:asciiTheme="minorHAnsi" w:hAnsiTheme="minorHAnsi"/>
                <w:kern w:val="24"/>
              </w:rPr>
              <w:t>Para mezclas: Hasta 31 Diciembre 2017.</w:t>
            </w:r>
          </w:p>
        </w:tc>
      </w:tr>
      <w:tr w:rsidR="00B54810" w:rsidRPr="00145281" w:rsidTr="00424527">
        <w:tc>
          <w:tcPr>
            <w:cnfStyle w:val="001000000000" w:firstRow="0" w:lastRow="0" w:firstColumn="1" w:lastColumn="0" w:oddVBand="0" w:evenVBand="0" w:oddHBand="0" w:evenHBand="0" w:firstRowFirstColumn="0" w:firstRowLastColumn="0" w:lastRowFirstColumn="0" w:lastRowLastColumn="0"/>
            <w:tcW w:w="1116" w:type="pct"/>
          </w:tcPr>
          <w:p w:rsidR="00B54810" w:rsidRPr="00145281" w:rsidRDefault="00B54810" w:rsidP="00145281">
            <w:pPr>
              <w:spacing w:line="240" w:lineRule="auto"/>
              <w:rPr>
                <w:rFonts w:asciiTheme="minorHAnsi" w:hAnsiTheme="minorHAnsi"/>
              </w:rPr>
            </w:pPr>
            <w:r w:rsidRPr="00145281">
              <w:rPr>
                <w:rFonts w:asciiTheme="minorHAnsi" w:hAnsiTheme="minorHAnsi"/>
              </w:rPr>
              <w:t>Resultados</w:t>
            </w:r>
          </w:p>
        </w:tc>
        <w:tc>
          <w:tcPr>
            <w:tcW w:w="3884" w:type="pct"/>
          </w:tcPr>
          <w:p w:rsidR="00B54810" w:rsidRPr="00226C1B" w:rsidRDefault="00B54810" w:rsidP="00D4302C">
            <w:pPr>
              <w:pStyle w:val="ListParagraph"/>
              <w:numPr>
                <w:ilvl w:val="0"/>
                <w:numId w:val="71"/>
              </w:numPr>
              <w:spacing w:line="240" w:lineRule="auto"/>
              <w:ind w:left="289"/>
              <w:cnfStyle w:val="000000000000" w:firstRow="0" w:lastRow="0" w:firstColumn="0" w:lastColumn="0" w:oddVBand="0" w:evenVBand="0" w:oddHBand="0" w:evenHBand="0" w:firstRowFirstColumn="0" w:firstRowLastColumn="0" w:lastRowFirstColumn="0" w:lastRowLastColumn="0"/>
              <w:rPr>
                <w:rFonts w:asciiTheme="minorHAnsi" w:hAnsiTheme="minorHAnsi"/>
                <w:kern w:val="24"/>
              </w:rPr>
            </w:pPr>
            <w:r w:rsidRPr="00226C1B">
              <w:rPr>
                <w:rFonts w:asciiTheme="minorHAnsi" w:hAnsiTheme="minorHAnsi"/>
                <w:kern w:val="24"/>
              </w:rPr>
              <w:t>El GHS en Uruguay fue implementado en todos sus bloques (de manera total y no gradual), lo que en consecuencia generó dificultades importantes para lograr su implementación (falta de capacidad analítica, técnica, etc.).</w:t>
            </w:r>
          </w:p>
          <w:p w:rsidR="00B54810" w:rsidRPr="00226C1B" w:rsidRDefault="00B54810" w:rsidP="00D4302C">
            <w:pPr>
              <w:pStyle w:val="ListParagraph"/>
              <w:numPr>
                <w:ilvl w:val="0"/>
                <w:numId w:val="71"/>
              </w:numPr>
              <w:spacing w:line="240" w:lineRule="auto"/>
              <w:ind w:left="289"/>
              <w:cnfStyle w:val="000000000000" w:firstRow="0" w:lastRow="0" w:firstColumn="0" w:lastColumn="0" w:oddVBand="0" w:evenVBand="0" w:oddHBand="0" w:evenHBand="0" w:firstRowFirstColumn="0" w:firstRowLastColumn="0" w:lastRowFirstColumn="0" w:lastRowLastColumn="0"/>
              <w:rPr>
                <w:rFonts w:asciiTheme="minorHAnsi" w:hAnsiTheme="minorHAnsi"/>
                <w:kern w:val="24"/>
              </w:rPr>
            </w:pPr>
            <w:r w:rsidRPr="00226C1B">
              <w:rPr>
                <w:rFonts w:asciiTheme="minorHAnsi" w:hAnsiTheme="minorHAnsi"/>
                <w:kern w:val="24"/>
              </w:rPr>
              <w:t>La DINAMA (Dirección Nacional de Medio Ambiente) se encuentra ejecutando desde el año 2013 el proyecto “Apoyo para la implementación del GHS en Uruguay” por medio del cual se evalúan los impactos asociados al manejo de sustancias químicas a través de un programa de inspecciones a empresas, así como la difusión de los criterios técnicos que se deriven.</w:t>
            </w:r>
          </w:p>
          <w:p w:rsidR="00B54810" w:rsidRPr="00226C1B" w:rsidRDefault="00B54810" w:rsidP="00D4302C">
            <w:pPr>
              <w:pStyle w:val="ListParagraph"/>
              <w:numPr>
                <w:ilvl w:val="0"/>
                <w:numId w:val="71"/>
              </w:numPr>
              <w:spacing w:line="240" w:lineRule="auto"/>
              <w:ind w:left="289"/>
              <w:cnfStyle w:val="000000000000" w:firstRow="0" w:lastRow="0" w:firstColumn="0" w:lastColumn="0" w:oddVBand="0" w:evenVBand="0" w:oddHBand="0" w:evenHBand="0" w:firstRowFirstColumn="0" w:firstRowLastColumn="0" w:lastRowFirstColumn="0" w:lastRowLastColumn="0"/>
              <w:rPr>
                <w:kern w:val="24"/>
              </w:rPr>
            </w:pPr>
            <w:r w:rsidRPr="00226C1B">
              <w:rPr>
                <w:rFonts w:asciiTheme="minorHAnsi" w:hAnsiTheme="minorHAnsi"/>
                <w:kern w:val="24"/>
              </w:rPr>
              <w:t>Como herramienta de fortalecimiento institucional y legal para la gestión de sustancias químicas se propone la armonización del sistema de clasificación y etiquetado de sustancias químicas no sólo para el ámbito laboral sino también para el resto de los  organismos.</w:t>
            </w:r>
          </w:p>
        </w:tc>
      </w:tr>
    </w:tbl>
    <w:p w:rsidR="00B54810" w:rsidRDefault="00B54810" w:rsidP="00606EAC">
      <w:pPr>
        <w:pStyle w:val="Heading4"/>
        <w:numPr>
          <w:ilvl w:val="2"/>
          <w:numId w:val="0"/>
        </w:numPr>
        <w:autoSpaceDE w:val="0"/>
        <w:autoSpaceDN w:val="0"/>
        <w:adjustRightInd w:val="0"/>
        <w:spacing w:before="0" w:after="200" w:line="240" w:lineRule="auto"/>
        <w:ind w:right="368"/>
        <w:jc w:val="both"/>
      </w:pPr>
    </w:p>
    <w:p w:rsidR="00B54810" w:rsidRPr="002D4486" w:rsidRDefault="00890F84" w:rsidP="00424527">
      <w:pPr>
        <w:pStyle w:val="Heading4"/>
        <w:spacing w:before="0" w:after="180"/>
        <w:ind w:left="851" w:hanging="862"/>
        <w:rPr>
          <w:b/>
          <w:i/>
          <w:caps w:val="0"/>
        </w:rPr>
      </w:pPr>
      <w:bookmarkStart w:id="56" w:name="_Toc388552082"/>
      <w:r w:rsidRPr="002D4486">
        <w:rPr>
          <w:b/>
          <w:i/>
          <w:caps w:val="0"/>
        </w:rPr>
        <w:t xml:space="preserve"> </w:t>
      </w:r>
      <w:bookmarkStart w:id="57" w:name="_Toc418168872"/>
      <w:r w:rsidR="00B54810" w:rsidRPr="002D4486">
        <w:rPr>
          <w:b/>
          <w:i/>
          <w:caps w:val="0"/>
        </w:rPr>
        <w:t>Brasil</w:t>
      </w:r>
      <w:bookmarkEnd w:id="56"/>
      <w:bookmarkEnd w:id="57"/>
    </w:p>
    <w:tbl>
      <w:tblPr>
        <w:tblStyle w:val="Listaclara-nfasis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7782"/>
      </w:tblGrid>
      <w:tr w:rsidR="00B54810" w:rsidRPr="00E81F40" w:rsidTr="00B548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pct"/>
          </w:tcPr>
          <w:p w:rsidR="00B54810" w:rsidRPr="00E81F40" w:rsidRDefault="00B54810" w:rsidP="00E81F40">
            <w:pPr>
              <w:spacing w:line="240" w:lineRule="auto"/>
              <w:rPr>
                <w:rFonts w:asciiTheme="minorHAnsi" w:hAnsiTheme="minorHAnsi"/>
              </w:rPr>
            </w:pPr>
            <w:r w:rsidRPr="00E81F40">
              <w:rPr>
                <w:rFonts w:asciiTheme="minorHAnsi" w:hAnsiTheme="minorHAnsi"/>
              </w:rPr>
              <w:t>Encargado</w:t>
            </w:r>
          </w:p>
        </w:tc>
        <w:tc>
          <w:tcPr>
            <w:tcW w:w="3925" w:type="pct"/>
          </w:tcPr>
          <w:p w:rsidR="00B54810" w:rsidRPr="00E81F40" w:rsidRDefault="00B54810" w:rsidP="00E81F40">
            <w:pPr>
              <w:spacing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rPr>
            </w:pPr>
            <w:r w:rsidRPr="00E81F40">
              <w:rPr>
                <w:rFonts w:asciiTheme="minorHAnsi" w:hAnsiTheme="minorHAnsi"/>
                <w:iCs/>
                <w:lang w:val="pt-PT"/>
              </w:rPr>
              <w:t>Ministerio de Desarrollo, Industria y Comercio Exterior</w:t>
            </w:r>
          </w:p>
        </w:tc>
      </w:tr>
      <w:tr w:rsidR="00B54810" w:rsidRPr="00E81F40" w:rsidTr="00B548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pct"/>
            <w:tcBorders>
              <w:top w:val="none" w:sz="0" w:space="0" w:color="auto"/>
              <w:left w:val="none" w:sz="0" w:space="0" w:color="auto"/>
              <w:bottom w:val="none" w:sz="0" w:space="0" w:color="auto"/>
            </w:tcBorders>
          </w:tcPr>
          <w:p w:rsidR="00B54810" w:rsidRPr="00E81F40" w:rsidRDefault="00B54810" w:rsidP="00E81F40">
            <w:pPr>
              <w:spacing w:line="240" w:lineRule="auto"/>
              <w:jc w:val="left"/>
              <w:rPr>
                <w:rFonts w:asciiTheme="minorHAnsi" w:hAnsiTheme="minorHAnsi"/>
              </w:rPr>
            </w:pPr>
            <w:r w:rsidRPr="00E81F40">
              <w:rPr>
                <w:rFonts w:asciiTheme="minorHAnsi" w:hAnsiTheme="minorHAnsi"/>
              </w:rPr>
              <w:t xml:space="preserve">Principales participantes </w:t>
            </w:r>
          </w:p>
        </w:tc>
        <w:tc>
          <w:tcPr>
            <w:tcW w:w="3925" w:type="pct"/>
            <w:tcBorders>
              <w:top w:val="none" w:sz="0" w:space="0" w:color="auto"/>
              <w:bottom w:val="none" w:sz="0" w:space="0" w:color="auto"/>
              <w:right w:val="none" w:sz="0" w:space="0" w:color="auto"/>
            </w:tcBorders>
          </w:tcPr>
          <w:p w:rsidR="00B54810" w:rsidRPr="00E81F40" w:rsidRDefault="00B54810" w:rsidP="00E81F40">
            <w:pPr>
              <w:spacing w:line="240"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kern w:val="24"/>
              </w:rPr>
            </w:pPr>
            <w:r w:rsidRPr="00E81F40">
              <w:rPr>
                <w:rFonts w:asciiTheme="minorHAnsi" w:eastAsiaTheme="minorHAnsi" w:hAnsiTheme="minorHAnsi"/>
                <w:kern w:val="24"/>
              </w:rPr>
              <w:t>Ministerio de Salud, Ministerio Trabajo y Empleo, Asociación Brasileña de Industria Química (ABIQUIM), Instituto Nacional de Metrología, Normalización y Calidad Industrial (INMETRO).</w:t>
            </w:r>
          </w:p>
        </w:tc>
      </w:tr>
      <w:tr w:rsidR="00B54810" w:rsidRPr="00E81F40" w:rsidTr="00B54810">
        <w:tc>
          <w:tcPr>
            <w:cnfStyle w:val="001000000000" w:firstRow="0" w:lastRow="0" w:firstColumn="1" w:lastColumn="0" w:oddVBand="0" w:evenVBand="0" w:oddHBand="0" w:evenHBand="0" w:firstRowFirstColumn="0" w:firstRowLastColumn="0" w:lastRowFirstColumn="0" w:lastRowLastColumn="0"/>
            <w:tcW w:w="1075" w:type="pct"/>
          </w:tcPr>
          <w:p w:rsidR="00B54810" w:rsidRPr="00E81F40" w:rsidRDefault="00B54810" w:rsidP="00E81F40">
            <w:pPr>
              <w:spacing w:line="240" w:lineRule="auto"/>
              <w:jc w:val="left"/>
              <w:rPr>
                <w:rFonts w:asciiTheme="minorHAnsi" w:hAnsiTheme="minorHAnsi"/>
              </w:rPr>
            </w:pPr>
            <w:r w:rsidRPr="00E81F40">
              <w:rPr>
                <w:rFonts w:asciiTheme="minorHAnsi" w:hAnsiTheme="minorHAnsi"/>
              </w:rPr>
              <w:t>Antecedentes</w:t>
            </w:r>
          </w:p>
        </w:tc>
        <w:tc>
          <w:tcPr>
            <w:tcW w:w="3925" w:type="pct"/>
          </w:tcPr>
          <w:p w:rsidR="00B54810" w:rsidRPr="00E81F40" w:rsidRDefault="00B54810" w:rsidP="00E81F40">
            <w:pPr>
              <w:spacing w:line="240"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kern w:val="24"/>
              </w:rPr>
            </w:pPr>
            <w:r w:rsidRPr="00E81F40">
              <w:rPr>
                <w:rFonts w:asciiTheme="minorHAnsi" w:eastAsiaTheme="minorHAnsi" w:hAnsiTheme="minorHAnsi"/>
                <w:kern w:val="24"/>
                <w:u w:val="single"/>
              </w:rPr>
              <w:t>2001-2005:</w:t>
            </w:r>
            <w:r w:rsidRPr="00E81F40">
              <w:rPr>
                <w:rFonts w:asciiTheme="minorHAnsi" w:eastAsiaTheme="minorHAnsi" w:hAnsiTheme="minorHAnsi"/>
                <w:kern w:val="24"/>
              </w:rPr>
              <w:t xml:space="preserve"> Creación de grupo informal para implementación de GHS (GT-GHS).</w:t>
            </w:r>
          </w:p>
          <w:p w:rsidR="00B54810" w:rsidRPr="00E81F40" w:rsidRDefault="00B54810" w:rsidP="00D4302C">
            <w:pPr>
              <w:pStyle w:val="ListParagraph"/>
              <w:numPr>
                <w:ilvl w:val="0"/>
                <w:numId w:val="72"/>
              </w:numPr>
              <w:spacing w:line="240" w:lineRule="auto"/>
              <w:ind w:left="372"/>
              <w:cnfStyle w:val="000000000000" w:firstRow="0" w:lastRow="0" w:firstColumn="0" w:lastColumn="0" w:oddVBand="0" w:evenVBand="0" w:oddHBand="0" w:evenHBand="0" w:firstRowFirstColumn="0" w:firstRowLastColumn="0" w:lastRowFirstColumn="0" w:lastRowLastColumn="0"/>
              <w:rPr>
                <w:rFonts w:asciiTheme="minorHAnsi" w:hAnsiTheme="minorHAnsi"/>
                <w:kern w:val="24"/>
              </w:rPr>
            </w:pPr>
            <w:r w:rsidRPr="00E81F40">
              <w:rPr>
                <w:rFonts w:asciiTheme="minorHAnsi" w:hAnsiTheme="minorHAnsi"/>
                <w:kern w:val="24"/>
              </w:rPr>
              <w:t>Se realizan seminarios nacionales y regionales para difusión de información sobre GHS. Creación página Web. Creación de folletos informativos.</w:t>
            </w:r>
          </w:p>
          <w:p w:rsidR="00B54810" w:rsidRPr="00E81F40" w:rsidRDefault="00B54810" w:rsidP="00D4302C">
            <w:pPr>
              <w:pStyle w:val="ListParagraph"/>
              <w:numPr>
                <w:ilvl w:val="0"/>
                <w:numId w:val="72"/>
              </w:numPr>
              <w:spacing w:line="240" w:lineRule="auto"/>
              <w:ind w:left="372"/>
              <w:cnfStyle w:val="000000000000" w:firstRow="0" w:lastRow="0" w:firstColumn="0" w:lastColumn="0" w:oddVBand="0" w:evenVBand="0" w:oddHBand="0" w:evenHBand="0" w:firstRowFirstColumn="0" w:firstRowLastColumn="0" w:lastRowFirstColumn="0" w:lastRowLastColumn="0"/>
              <w:rPr>
                <w:rFonts w:asciiTheme="minorHAnsi" w:hAnsiTheme="minorHAnsi"/>
                <w:kern w:val="24"/>
              </w:rPr>
            </w:pPr>
            <w:r w:rsidRPr="00E81F40">
              <w:rPr>
                <w:rFonts w:asciiTheme="minorHAnsi" w:hAnsiTheme="minorHAnsi"/>
                <w:kern w:val="24"/>
              </w:rPr>
              <w:t>Identificación de actores que se verán afectados por la implementación de GHS. Capacitaciones a grupos involucrados (industria, gobierno, consumidores, etc.).</w:t>
            </w:r>
          </w:p>
          <w:p w:rsidR="00B54810" w:rsidRPr="00E81F40" w:rsidRDefault="00B54810" w:rsidP="00D4302C">
            <w:pPr>
              <w:pStyle w:val="ListParagraph"/>
              <w:numPr>
                <w:ilvl w:val="0"/>
                <w:numId w:val="72"/>
              </w:numPr>
              <w:spacing w:line="240" w:lineRule="auto"/>
              <w:ind w:left="372"/>
              <w:cnfStyle w:val="000000000000" w:firstRow="0" w:lastRow="0" w:firstColumn="0" w:lastColumn="0" w:oddVBand="0" w:evenVBand="0" w:oddHBand="0" w:evenHBand="0" w:firstRowFirstColumn="0" w:firstRowLastColumn="0" w:lastRowFirstColumn="0" w:lastRowLastColumn="0"/>
              <w:rPr>
                <w:rFonts w:asciiTheme="minorHAnsi" w:hAnsiTheme="minorHAnsi"/>
                <w:kern w:val="24"/>
              </w:rPr>
            </w:pPr>
            <w:r w:rsidRPr="00E81F40">
              <w:rPr>
                <w:rFonts w:asciiTheme="minorHAnsi" w:hAnsiTheme="minorHAnsi"/>
                <w:kern w:val="24"/>
              </w:rPr>
              <w:t>Reuniones y formación de equipos de trabajo por áreas.</w:t>
            </w:r>
          </w:p>
          <w:p w:rsidR="00B54810" w:rsidRPr="00E81F40" w:rsidRDefault="00E81F40" w:rsidP="00E81F40">
            <w:pPr>
              <w:spacing w:line="240"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kern w:val="24"/>
              </w:rPr>
            </w:pPr>
            <w:r>
              <w:rPr>
                <w:rFonts w:asciiTheme="minorHAnsi" w:eastAsiaTheme="minorHAnsi" w:hAnsiTheme="minorHAnsi"/>
                <w:kern w:val="24"/>
                <w:u w:val="single"/>
              </w:rPr>
              <w:t>2</w:t>
            </w:r>
            <w:r w:rsidR="00B54810" w:rsidRPr="00E81F40">
              <w:rPr>
                <w:rFonts w:asciiTheme="minorHAnsi" w:eastAsiaTheme="minorHAnsi" w:hAnsiTheme="minorHAnsi"/>
                <w:kern w:val="24"/>
                <w:u w:val="single"/>
              </w:rPr>
              <w:t>007:</w:t>
            </w:r>
            <w:r w:rsidR="00B54810" w:rsidRPr="00E81F40">
              <w:rPr>
                <w:rFonts w:asciiTheme="minorHAnsi" w:eastAsiaTheme="minorHAnsi" w:hAnsiTheme="minorHAnsi"/>
                <w:kern w:val="24"/>
              </w:rPr>
              <w:t xml:space="preserve"> Oficialización grupo de trabajo GT-GHS-Brasil por decreto presidencial, cuyo objetivo es la elaboración de una estrategia de implementación del GHS:</w:t>
            </w:r>
          </w:p>
          <w:p w:rsidR="00B54810" w:rsidRPr="00E81F40" w:rsidRDefault="00B54810" w:rsidP="00D4302C">
            <w:pPr>
              <w:pStyle w:val="ListParagraph"/>
              <w:numPr>
                <w:ilvl w:val="0"/>
                <w:numId w:val="73"/>
              </w:numPr>
              <w:spacing w:line="240" w:lineRule="auto"/>
              <w:ind w:left="372"/>
              <w:cnfStyle w:val="000000000000" w:firstRow="0" w:lastRow="0" w:firstColumn="0" w:lastColumn="0" w:oddVBand="0" w:evenVBand="0" w:oddHBand="0" w:evenHBand="0" w:firstRowFirstColumn="0" w:firstRowLastColumn="0" w:lastRowFirstColumn="0" w:lastRowLastColumn="0"/>
              <w:rPr>
                <w:rFonts w:asciiTheme="minorHAnsi" w:hAnsiTheme="minorHAnsi"/>
                <w:kern w:val="24"/>
              </w:rPr>
            </w:pPr>
            <w:r w:rsidRPr="00E81F40">
              <w:rPr>
                <w:rFonts w:asciiTheme="minorHAnsi" w:hAnsiTheme="minorHAnsi"/>
                <w:kern w:val="24"/>
              </w:rPr>
              <w:t>Realización de inventario crítico sectorial sobre legislación relacionada con el GHS con la finalidad de identificar conflictos y brechas existentes (Análisis de situación y vacíos).</w:t>
            </w:r>
          </w:p>
          <w:p w:rsidR="00B54810" w:rsidRPr="00E81F40" w:rsidRDefault="00B54810" w:rsidP="00D4302C">
            <w:pPr>
              <w:pStyle w:val="ListParagraph"/>
              <w:numPr>
                <w:ilvl w:val="0"/>
                <w:numId w:val="73"/>
              </w:numPr>
              <w:spacing w:line="240" w:lineRule="auto"/>
              <w:ind w:left="372"/>
              <w:cnfStyle w:val="000000000000" w:firstRow="0" w:lastRow="0" w:firstColumn="0" w:lastColumn="0" w:oddVBand="0" w:evenVBand="0" w:oddHBand="0" w:evenHBand="0" w:firstRowFirstColumn="0" w:firstRowLastColumn="0" w:lastRowFirstColumn="0" w:lastRowLastColumn="0"/>
              <w:rPr>
                <w:kern w:val="24"/>
              </w:rPr>
            </w:pPr>
            <w:r w:rsidRPr="00E81F40">
              <w:rPr>
                <w:rFonts w:asciiTheme="minorHAnsi" w:hAnsiTheme="minorHAnsi"/>
                <w:kern w:val="24"/>
              </w:rPr>
              <w:t>Propuesta de proyecto de cooperación con Mercosur/BID para implementación de GHS.</w:t>
            </w:r>
          </w:p>
        </w:tc>
      </w:tr>
      <w:tr w:rsidR="00B54810" w:rsidRPr="00E81F40" w:rsidTr="00B548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pct"/>
            <w:tcBorders>
              <w:top w:val="none" w:sz="0" w:space="0" w:color="auto"/>
              <w:left w:val="none" w:sz="0" w:space="0" w:color="auto"/>
              <w:bottom w:val="none" w:sz="0" w:space="0" w:color="auto"/>
            </w:tcBorders>
          </w:tcPr>
          <w:p w:rsidR="00B54810" w:rsidRPr="00E81F40" w:rsidRDefault="00B54810" w:rsidP="00E81F40">
            <w:pPr>
              <w:spacing w:line="240" w:lineRule="auto"/>
              <w:jc w:val="left"/>
              <w:rPr>
                <w:rFonts w:asciiTheme="minorHAnsi" w:hAnsiTheme="minorHAnsi"/>
              </w:rPr>
            </w:pPr>
            <w:r w:rsidRPr="00E81F40">
              <w:rPr>
                <w:rFonts w:asciiTheme="minorHAnsi" w:hAnsiTheme="minorHAnsi"/>
              </w:rPr>
              <w:t>Estrategia de implementación</w:t>
            </w:r>
          </w:p>
        </w:tc>
        <w:tc>
          <w:tcPr>
            <w:tcW w:w="3925" w:type="pct"/>
            <w:tcBorders>
              <w:top w:val="none" w:sz="0" w:space="0" w:color="auto"/>
              <w:bottom w:val="none" w:sz="0" w:space="0" w:color="auto"/>
              <w:right w:val="none" w:sz="0" w:space="0" w:color="auto"/>
            </w:tcBorders>
          </w:tcPr>
          <w:p w:rsidR="00B54810" w:rsidRPr="00E81F40" w:rsidRDefault="00B54810" w:rsidP="00E81F40">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u w:val="single"/>
              </w:rPr>
            </w:pPr>
            <w:r w:rsidRPr="00E81F40">
              <w:rPr>
                <w:rFonts w:asciiTheme="minorHAnsi" w:hAnsiTheme="minorHAnsi"/>
                <w:u w:val="single"/>
              </w:rPr>
              <w:t>Sector Transporte:</w:t>
            </w:r>
          </w:p>
          <w:p w:rsidR="00B54810" w:rsidRPr="00E81F40" w:rsidRDefault="00B54810" w:rsidP="00D4302C">
            <w:pPr>
              <w:pStyle w:val="ListParagraph"/>
              <w:numPr>
                <w:ilvl w:val="0"/>
                <w:numId w:val="74"/>
              </w:numPr>
              <w:spacing w:line="240" w:lineRule="auto"/>
              <w:ind w:left="372"/>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E81F40">
              <w:rPr>
                <w:rFonts w:asciiTheme="minorHAnsi" w:hAnsiTheme="minorHAnsi"/>
              </w:rPr>
              <w:t>Países del MERCOSUR aplican el Acuerdo sobre Transporte de Mercancías Peligrosas del año 1994 que se encuentra actualizado en base al Reglamento Modelo de las Naciones Unidas sobre transporte de productos peligrosos, que incluye la aplicación del GHS.</w:t>
            </w:r>
          </w:p>
          <w:p w:rsidR="00B54810" w:rsidRPr="00E81F40" w:rsidRDefault="00B54810" w:rsidP="00D4302C">
            <w:pPr>
              <w:pStyle w:val="ListParagraph"/>
              <w:numPr>
                <w:ilvl w:val="0"/>
                <w:numId w:val="74"/>
              </w:numPr>
              <w:spacing w:line="240" w:lineRule="auto"/>
              <w:ind w:left="372"/>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E81F40">
              <w:rPr>
                <w:rFonts w:asciiTheme="minorHAnsi" w:hAnsiTheme="minorHAnsi"/>
              </w:rPr>
              <w:t>El trabajo del GT-GHS tiene como objetivo apoyar la aplicación de las Normas ABNT, ayudar a evitar conflictos en el proceso de revisión de la legislación existente y la propuesta de un instrumento jurídico que cubra brechas en legislación.</w:t>
            </w:r>
          </w:p>
          <w:p w:rsidR="00B54810" w:rsidRPr="00E81F40" w:rsidRDefault="00B54810" w:rsidP="00E81F40">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u w:val="single"/>
              </w:rPr>
            </w:pPr>
            <w:r w:rsidRPr="00E81F40">
              <w:rPr>
                <w:rFonts w:asciiTheme="minorHAnsi" w:hAnsiTheme="minorHAnsi"/>
                <w:u w:val="single"/>
              </w:rPr>
              <w:t>Otros sectores:</w:t>
            </w:r>
          </w:p>
          <w:p w:rsidR="00B54810" w:rsidRPr="00E81F40" w:rsidRDefault="00B54810" w:rsidP="00D4302C">
            <w:pPr>
              <w:pStyle w:val="ListParagraph"/>
              <w:numPr>
                <w:ilvl w:val="0"/>
                <w:numId w:val="75"/>
              </w:numPr>
              <w:spacing w:line="240" w:lineRule="auto"/>
              <w:ind w:left="372"/>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E81F40">
              <w:rPr>
                <w:rFonts w:asciiTheme="minorHAnsi" w:hAnsiTheme="minorHAnsi"/>
              </w:rPr>
              <w:t>Creación de una instancia multidisciplinaria de Clasificación y Etiquetado de productos químicos que utilice criterios del GHS para establecer normas de seguridad y mecanismos de armonización en los sectores regulados y no regulados.</w:t>
            </w:r>
          </w:p>
          <w:p w:rsidR="00B54810" w:rsidRPr="00E81F40" w:rsidRDefault="00B54810" w:rsidP="00D4302C">
            <w:pPr>
              <w:pStyle w:val="ListParagraph"/>
              <w:numPr>
                <w:ilvl w:val="0"/>
                <w:numId w:val="75"/>
              </w:numPr>
              <w:spacing w:line="240" w:lineRule="auto"/>
              <w:ind w:left="372"/>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E81F40">
              <w:rPr>
                <w:rFonts w:asciiTheme="minorHAnsi" w:hAnsiTheme="minorHAnsi"/>
              </w:rPr>
              <w:t>Aplicación de Pruebas de Comprensión (evaluación de inteligibilidad): Publicación de borrador de Normas basadas en GHS para consulta pública.</w:t>
            </w:r>
          </w:p>
          <w:p w:rsidR="00B54810" w:rsidRPr="00E81F40" w:rsidRDefault="00B54810" w:rsidP="00D4302C">
            <w:pPr>
              <w:pStyle w:val="ListParagraph"/>
              <w:numPr>
                <w:ilvl w:val="0"/>
                <w:numId w:val="75"/>
              </w:numPr>
              <w:spacing w:line="240" w:lineRule="auto"/>
              <w:ind w:left="372"/>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E81F40">
              <w:rPr>
                <w:rFonts w:asciiTheme="minorHAnsi" w:hAnsiTheme="minorHAnsi"/>
              </w:rPr>
              <w:t xml:space="preserve">Publicación de la Norma ABNT NRB 14725:2009 (1-4) basada en GHS que incluye Terminología, Sistema de Clasificación de Peligro, Etiquetado, Ficha de Seguridad, para revisión pública y posterior aprobación. </w:t>
            </w:r>
          </w:p>
          <w:p w:rsidR="00B54810" w:rsidRPr="00E81F40" w:rsidRDefault="00B54810" w:rsidP="00D4302C">
            <w:pPr>
              <w:pStyle w:val="ListParagraph"/>
              <w:numPr>
                <w:ilvl w:val="0"/>
                <w:numId w:val="75"/>
              </w:numPr>
              <w:spacing w:line="240" w:lineRule="auto"/>
              <w:ind w:left="372"/>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E81F40">
              <w:rPr>
                <w:rFonts w:asciiTheme="minorHAnsi" w:hAnsiTheme="minorHAnsi"/>
              </w:rPr>
              <w:t>Incorporación de GHS por referencia en la norma existente NR26 sobre comunicación de peligro en lugares de trabajo para armonización.</w:t>
            </w:r>
          </w:p>
          <w:p w:rsidR="00B54810" w:rsidRPr="00E81F40" w:rsidRDefault="00B54810" w:rsidP="00D4302C">
            <w:pPr>
              <w:pStyle w:val="ListParagraph"/>
              <w:numPr>
                <w:ilvl w:val="0"/>
                <w:numId w:val="75"/>
              </w:numPr>
              <w:spacing w:line="240" w:lineRule="auto"/>
              <w:ind w:left="372"/>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E81F40">
              <w:rPr>
                <w:rFonts w:asciiTheme="minorHAnsi" w:hAnsiTheme="minorHAnsi"/>
              </w:rPr>
              <w:t>Período transición sustancias puras: Septiembre 2009-Febrero 2011.</w:t>
            </w:r>
          </w:p>
          <w:p w:rsidR="00B54810" w:rsidRPr="00E81F40" w:rsidRDefault="00B54810" w:rsidP="00D4302C">
            <w:pPr>
              <w:pStyle w:val="ListParagraph"/>
              <w:numPr>
                <w:ilvl w:val="0"/>
                <w:numId w:val="75"/>
              </w:numPr>
              <w:spacing w:line="240" w:lineRule="auto"/>
              <w:ind w:left="372"/>
              <w:cnfStyle w:val="000000100000" w:firstRow="0" w:lastRow="0" w:firstColumn="0" w:lastColumn="0" w:oddVBand="0" w:evenVBand="0" w:oddHBand="1" w:evenHBand="0" w:firstRowFirstColumn="0" w:firstRowLastColumn="0" w:lastRowFirstColumn="0" w:lastRowLastColumn="0"/>
            </w:pPr>
            <w:r w:rsidRPr="00E81F40">
              <w:rPr>
                <w:rFonts w:asciiTheme="minorHAnsi" w:hAnsiTheme="minorHAnsi"/>
              </w:rPr>
              <w:t>Período transición mezclas: Septiembre 2009- Mayo 2015.</w:t>
            </w:r>
          </w:p>
        </w:tc>
      </w:tr>
      <w:tr w:rsidR="00B54810" w:rsidRPr="00E81F40" w:rsidTr="00B54810">
        <w:tc>
          <w:tcPr>
            <w:cnfStyle w:val="001000000000" w:firstRow="0" w:lastRow="0" w:firstColumn="1" w:lastColumn="0" w:oddVBand="0" w:evenVBand="0" w:oddHBand="0" w:evenHBand="0" w:firstRowFirstColumn="0" w:firstRowLastColumn="0" w:lastRowFirstColumn="0" w:lastRowLastColumn="0"/>
            <w:tcW w:w="1075" w:type="pct"/>
          </w:tcPr>
          <w:p w:rsidR="00B54810" w:rsidRPr="00E81F40" w:rsidRDefault="00B54810" w:rsidP="00E81F40">
            <w:pPr>
              <w:spacing w:line="240" w:lineRule="auto"/>
              <w:rPr>
                <w:rFonts w:asciiTheme="minorHAnsi" w:hAnsiTheme="minorHAnsi"/>
              </w:rPr>
            </w:pPr>
            <w:r w:rsidRPr="00E81F40">
              <w:rPr>
                <w:rFonts w:asciiTheme="minorHAnsi" w:hAnsiTheme="minorHAnsi"/>
              </w:rPr>
              <w:t>Resultados</w:t>
            </w:r>
          </w:p>
        </w:tc>
        <w:tc>
          <w:tcPr>
            <w:tcW w:w="3925" w:type="pct"/>
          </w:tcPr>
          <w:p w:rsidR="00B54810" w:rsidRPr="00E81F40" w:rsidRDefault="00B54810" w:rsidP="00E81F40">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E81F40">
              <w:rPr>
                <w:rFonts w:asciiTheme="minorHAnsi" w:hAnsiTheme="minorHAnsi"/>
              </w:rPr>
              <w:t>A partir del 27 de febrero del 2011, la clasificación, etiquetado y FDS de sustancias puras debe hacerse usando NBR 14725:2009. Los productos correspondientes a mezclas pueden adoptar esta norma voluntariamente hasta junio del 2015 en que pasará a ser obligatorio.</w:t>
            </w:r>
          </w:p>
        </w:tc>
      </w:tr>
    </w:tbl>
    <w:p w:rsidR="000C3606" w:rsidRDefault="000C3606" w:rsidP="000C3606">
      <w:pPr>
        <w:pStyle w:val="Heading4"/>
        <w:numPr>
          <w:ilvl w:val="0"/>
          <w:numId w:val="0"/>
        </w:numPr>
        <w:spacing w:before="0" w:after="180"/>
        <w:ind w:left="851"/>
        <w:contextualSpacing/>
        <w:rPr>
          <w:b/>
          <w:i/>
          <w:caps w:val="0"/>
        </w:rPr>
      </w:pPr>
    </w:p>
    <w:p w:rsidR="00340C81" w:rsidRPr="002D4486" w:rsidRDefault="00890F84" w:rsidP="00424527">
      <w:pPr>
        <w:pStyle w:val="Heading4"/>
        <w:spacing w:before="0" w:after="180"/>
        <w:ind w:left="851" w:hanging="862"/>
        <w:rPr>
          <w:b/>
          <w:i/>
          <w:caps w:val="0"/>
        </w:rPr>
      </w:pPr>
      <w:r w:rsidRPr="002D4486">
        <w:rPr>
          <w:b/>
          <w:i/>
          <w:caps w:val="0"/>
        </w:rPr>
        <w:t xml:space="preserve"> </w:t>
      </w:r>
      <w:bookmarkStart w:id="58" w:name="_Toc418168873"/>
      <w:r w:rsidR="00340C81" w:rsidRPr="002D4486">
        <w:rPr>
          <w:b/>
          <w:i/>
          <w:caps w:val="0"/>
        </w:rPr>
        <w:t>México</w:t>
      </w:r>
      <w:bookmarkEnd w:id="58"/>
    </w:p>
    <w:p w:rsidR="00880939" w:rsidRDefault="00340C81" w:rsidP="00606EAC">
      <w:pPr>
        <w:pStyle w:val="NormalWeb"/>
        <w:shd w:val="clear" w:color="auto" w:fill="FFFFFF"/>
        <w:spacing w:before="0" w:beforeAutospacing="0" w:after="180" w:afterAutospacing="0" w:line="264" w:lineRule="auto"/>
        <w:jc w:val="both"/>
        <w:rPr>
          <w:rFonts w:asciiTheme="minorHAnsi" w:hAnsiTheme="minorHAnsi"/>
          <w:color w:val="000000"/>
          <w:sz w:val="22"/>
          <w:szCs w:val="22"/>
        </w:rPr>
      </w:pPr>
      <w:r w:rsidRPr="00AF457D">
        <w:rPr>
          <w:rFonts w:asciiTheme="minorHAnsi" w:hAnsiTheme="minorHAnsi"/>
          <w:color w:val="000000"/>
          <w:sz w:val="22"/>
          <w:szCs w:val="22"/>
        </w:rPr>
        <w:t xml:space="preserve">El camino recorrido por México para la implementación del GHS se inicia el año 2006 con la conformación de un Comité Técnico Interinstitucional integrado por el sector gubernamental (PEMEX, PROFECO, SAGARPA, SCT, SE (DGN, COFEMER), SEDENA, SEGOB, SHCP (AGA), SEMARNAT, SENER, SRE, SSA, STPS), el sector privado (ANIQ, ANAFAPYT, CANACINTRA, CANACO, CONCAMIN, COPARMEX), instituciones educativas (UNAM, IPN) y organizaciones de trabajadores (CTM Y CROM). Las actividades desarrolladas por el Comité incluyeron: </w:t>
      </w:r>
    </w:p>
    <w:p w:rsidR="00880939" w:rsidRDefault="00340C81" w:rsidP="00D4302C">
      <w:pPr>
        <w:pStyle w:val="NormalWeb"/>
        <w:numPr>
          <w:ilvl w:val="0"/>
          <w:numId w:val="76"/>
        </w:numPr>
        <w:shd w:val="clear" w:color="auto" w:fill="FFFFFF"/>
        <w:spacing w:before="0" w:beforeAutospacing="0" w:after="180" w:afterAutospacing="0" w:line="264" w:lineRule="auto"/>
        <w:ind w:left="714" w:hanging="357"/>
        <w:contextualSpacing/>
        <w:jc w:val="both"/>
        <w:rPr>
          <w:rFonts w:asciiTheme="minorHAnsi" w:hAnsiTheme="minorHAnsi"/>
          <w:color w:val="000000"/>
          <w:sz w:val="22"/>
          <w:szCs w:val="22"/>
        </w:rPr>
      </w:pPr>
      <w:r w:rsidRPr="00AF457D">
        <w:rPr>
          <w:rFonts w:asciiTheme="minorHAnsi" w:hAnsiTheme="minorHAnsi"/>
          <w:color w:val="000000"/>
          <w:sz w:val="22"/>
          <w:szCs w:val="22"/>
        </w:rPr>
        <w:t xml:space="preserve">Presentación de la propuesta de acciones correctivas en legislación nacional, </w:t>
      </w:r>
    </w:p>
    <w:p w:rsidR="00880939" w:rsidRDefault="00340C81" w:rsidP="00D4302C">
      <w:pPr>
        <w:pStyle w:val="NormalWeb"/>
        <w:numPr>
          <w:ilvl w:val="0"/>
          <w:numId w:val="76"/>
        </w:numPr>
        <w:shd w:val="clear" w:color="auto" w:fill="FFFFFF"/>
        <w:spacing w:before="0" w:beforeAutospacing="0" w:after="180" w:afterAutospacing="0" w:line="264" w:lineRule="auto"/>
        <w:ind w:left="714" w:hanging="357"/>
        <w:contextualSpacing/>
        <w:jc w:val="both"/>
        <w:rPr>
          <w:rFonts w:asciiTheme="minorHAnsi" w:hAnsiTheme="minorHAnsi"/>
          <w:color w:val="000000"/>
          <w:sz w:val="22"/>
          <w:szCs w:val="22"/>
        </w:rPr>
      </w:pPr>
      <w:r w:rsidRPr="00AF457D">
        <w:rPr>
          <w:rFonts w:asciiTheme="minorHAnsi" w:hAnsiTheme="minorHAnsi"/>
          <w:color w:val="000000"/>
          <w:sz w:val="22"/>
          <w:szCs w:val="22"/>
        </w:rPr>
        <w:t xml:space="preserve">Identificar Normas Oficiales Mexicanas (NOMs) que debían modificarse, </w:t>
      </w:r>
    </w:p>
    <w:p w:rsidR="00880939" w:rsidRDefault="00340C81" w:rsidP="00D4302C">
      <w:pPr>
        <w:pStyle w:val="NormalWeb"/>
        <w:numPr>
          <w:ilvl w:val="0"/>
          <w:numId w:val="76"/>
        </w:numPr>
        <w:shd w:val="clear" w:color="auto" w:fill="FFFFFF"/>
        <w:spacing w:before="0" w:beforeAutospacing="0" w:after="180" w:afterAutospacing="0" w:line="264" w:lineRule="auto"/>
        <w:ind w:left="714" w:hanging="357"/>
        <w:contextualSpacing/>
        <w:jc w:val="both"/>
        <w:rPr>
          <w:rFonts w:asciiTheme="minorHAnsi" w:hAnsiTheme="minorHAnsi"/>
          <w:color w:val="000000"/>
          <w:sz w:val="22"/>
          <w:szCs w:val="22"/>
        </w:rPr>
      </w:pPr>
      <w:r w:rsidRPr="00AF457D">
        <w:rPr>
          <w:rFonts w:asciiTheme="minorHAnsi" w:hAnsiTheme="minorHAnsi"/>
          <w:color w:val="000000"/>
          <w:sz w:val="22"/>
          <w:szCs w:val="22"/>
        </w:rPr>
        <w:t xml:space="preserve">Creación de un espacio en Internet con los documentos pertinentes (Listado actualizado de normas afectadas por el GHS, Tabla de pictogramas, Libro morado, Libro naranja, Guías UNITAR, Enlaces a las páginas GHS en otros países, APEC y Naciones Unidas), </w:t>
      </w:r>
    </w:p>
    <w:p w:rsidR="00880939" w:rsidRDefault="00340C81" w:rsidP="00D4302C">
      <w:pPr>
        <w:pStyle w:val="NormalWeb"/>
        <w:numPr>
          <w:ilvl w:val="0"/>
          <w:numId w:val="76"/>
        </w:numPr>
        <w:shd w:val="clear" w:color="auto" w:fill="FFFFFF"/>
        <w:spacing w:before="0" w:beforeAutospacing="0" w:after="180" w:afterAutospacing="0" w:line="264" w:lineRule="auto"/>
        <w:ind w:left="714" w:hanging="357"/>
        <w:contextualSpacing/>
        <w:jc w:val="both"/>
        <w:rPr>
          <w:rFonts w:asciiTheme="minorHAnsi" w:hAnsiTheme="minorHAnsi"/>
          <w:color w:val="000000"/>
          <w:sz w:val="22"/>
          <w:szCs w:val="22"/>
        </w:rPr>
      </w:pPr>
      <w:r w:rsidRPr="00AF457D">
        <w:rPr>
          <w:rFonts w:asciiTheme="minorHAnsi" w:hAnsiTheme="minorHAnsi"/>
          <w:color w:val="000000"/>
          <w:sz w:val="22"/>
          <w:szCs w:val="22"/>
        </w:rPr>
        <w:t xml:space="preserve">Búsqueda de recursos para Capacitación, </w:t>
      </w:r>
    </w:p>
    <w:p w:rsidR="00880939" w:rsidRDefault="00340C81" w:rsidP="00D4302C">
      <w:pPr>
        <w:pStyle w:val="NormalWeb"/>
        <w:numPr>
          <w:ilvl w:val="0"/>
          <w:numId w:val="76"/>
        </w:numPr>
        <w:shd w:val="clear" w:color="auto" w:fill="FFFFFF"/>
        <w:spacing w:before="0" w:beforeAutospacing="0" w:after="180" w:afterAutospacing="0" w:line="264" w:lineRule="auto"/>
        <w:ind w:left="714" w:hanging="357"/>
        <w:contextualSpacing/>
        <w:jc w:val="both"/>
        <w:rPr>
          <w:rFonts w:asciiTheme="minorHAnsi" w:hAnsiTheme="minorHAnsi"/>
          <w:color w:val="000000"/>
          <w:sz w:val="22"/>
          <w:szCs w:val="22"/>
        </w:rPr>
      </w:pPr>
      <w:r w:rsidRPr="00AF457D">
        <w:rPr>
          <w:rFonts w:asciiTheme="minorHAnsi" w:hAnsiTheme="minorHAnsi"/>
          <w:color w:val="000000"/>
          <w:sz w:val="22"/>
          <w:szCs w:val="22"/>
        </w:rPr>
        <w:t xml:space="preserve">Establecer contacto directo con UNITAR, Formular un Plan de Capacitación, </w:t>
      </w:r>
    </w:p>
    <w:p w:rsidR="00880939" w:rsidRDefault="00340C81" w:rsidP="00D4302C">
      <w:pPr>
        <w:pStyle w:val="NormalWeb"/>
        <w:numPr>
          <w:ilvl w:val="0"/>
          <w:numId w:val="76"/>
        </w:numPr>
        <w:shd w:val="clear" w:color="auto" w:fill="FFFFFF"/>
        <w:spacing w:before="0" w:beforeAutospacing="0" w:after="180" w:afterAutospacing="0" w:line="264" w:lineRule="auto"/>
        <w:ind w:left="714" w:hanging="357"/>
        <w:contextualSpacing/>
        <w:jc w:val="both"/>
        <w:rPr>
          <w:rFonts w:asciiTheme="minorHAnsi" w:hAnsiTheme="minorHAnsi"/>
          <w:color w:val="000000"/>
          <w:sz w:val="22"/>
          <w:szCs w:val="22"/>
        </w:rPr>
      </w:pPr>
      <w:r w:rsidRPr="00AF457D">
        <w:rPr>
          <w:rFonts w:asciiTheme="minorHAnsi" w:hAnsiTheme="minorHAnsi"/>
          <w:color w:val="000000"/>
          <w:sz w:val="22"/>
          <w:szCs w:val="22"/>
        </w:rPr>
        <w:t xml:space="preserve">Elaborar un Plan de Difusión, </w:t>
      </w:r>
    </w:p>
    <w:p w:rsidR="00880939" w:rsidRDefault="00340C81" w:rsidP="00D4302C">
      <w:pPr>
        <w:pStyle w:val="NormalWeb"/>
        <w:numPr>
          <w:ilvl w:val="0"/>
          <w:numId w:val="76"/>
        </w:numPr>
        <w:shd w:val="clear" w:color="auto" w:fill="FFFFFF"/>
        <w:spacing w:before="0" w:beforeAutospacing="0" w:after="180" w:afterAutospacing="0" w:line="264" w:lineRule="auto"/>
        <w:ind w:left="714" w:hanging="357"/>
        <w:contextualSpacing/>
        <w:jc w:val="both"/>
        <w:rPr>
          <w:rFonts w:asciiTheme="minorHAnsi" w:hAnsiTheme="minorHAnsi"/>
          <w:color w:val="000000"/>
          <w:sz w:val="22"/>
          <w:szCs w:val="22"/>
        </w:rPr>
      </w:pPr>
      <w:r w:rsidRPr="00AF457D">
        <w:rPr>
          <w:rFonts w:asciiTheme="minorHAnsi" w:hAnsiTheme="minorHAnsi"/>
          <w:color w:val="000000"/>
          <w:sz w:val="22"/>
          <w:szCs w:val="22"/>
        </w:rPr>
        <w:t>Elaborar un cuestionario para la Industria (conocimiento y capacidades de adoptar GHS),</w:t>
      </w:r>
    </w:p>
    <w:p w:rsidR="00880939" w:rsidRDefault="00340C81" w:rsidP="00D4302C">
      <w:pPr>
        <w:pStyle w:val="NormalWeb"/>
        <w:numPr>
          <w:ilvl w:val="0"/>
          <w:numId w:val="76"/>
        </w:numPr>
        <w:shd w:val="clear" w:color="auto" w:fill="FFFFFF"/>
        <w:spacing w:before="0" w:beforeAutospacing="0" w:after="180" w:afterAutospacing="0" w:line="264" w:lineRule="auto"/>
        <w:ind w:left="714" w:hanging="357"/>
        <w:contextualSpacing/>
        <w:jc w:val="both"/>
        <w:rPr>
          <w:rFonts w:asciiTheme="minorHAnsi" w:hAnsiTheme="minorHAnsi"/>
          <w:color w:val="000000"/>
          <w:sz w:val="22"/>
          <w:szCs w:val="22"/>
        </w:rPr>
      </w:pPr>
      <w:r w:rsidRPr="00AF457D">
        <w:rPr>
          <w:rFonts w:asciiTheme="minorHAnsi" w:hAnsiTheme="minorHAnsi"/>
          <w:color w:val="000000"/>
          <w:sz w:val="22"/>
          <w:szCs w:val="22"/>
        </w:rPr>
        <w:t>Revisar la capacidad técnica en Organismos de Evaluación de la Conformidad,</w:t>
      </w:r>
    </w:p>
    <w:p w:rsidR="00880939" w:rsidRDefault="00340C81" w:rsidP="00D4302C">
      <w:pPr>
        <w:pStyle w:val="NormalWeb"/>
        <w:numPr>
          <w:ilvl w:val="0"/>
          <w:numId w:val="76"/>
        </w:numPr>
        <w:shd w:val="clear" w:color="auto" w:fill="FFFFFF"/>
        <w:spacing w:before="0" w:beforeAutospacing="0" w:after="180" w:afterAutospacing="0" w:line="264" w:lineRule="auto"/>
        <w:ind w:left="714" w:hanging="357"/>
        <w:contextualSpacing/>
        <w:jc w:val="both"/>
        <w:rPr>
          <w:rFonts w:asciiTheme="minorHAnsi" w:hAnsiTheme="minorHAnsi"/>
          <w:color w:val="000000"/>
          <w:sz w:val="22"/>
          <w:szCs w:val="22"/>
        </w:rPr>
      </w:pPr>
      <w:r w:rsidRPr="00AF457D">
        <w:rPr>
          <w:rFonts w:asciiTheme="minorHAnsi" w:hAnsiTheme="minorHAnsi"/>
          <w:color w:val="000000"/>
          <w:sz w:val="22"/>
          <w:szCs w:val="22"/>
        </w:rPr>
        <w:t xml:space="preserve">Incorporar personal de Puertos, Sindicatos y Grupos de Emergencia, </w:t>
      </w:r>
    </w:p>
    <w:p w:rsidR="00880939" w:rsidRDefault="00340C81" w:rsidP="00D4302C">
      <w:pPr>
        <w:pStyle w:val="NormalWeb"/>
        <w:numPr>
          <w:ilvl w:val="0"/>
          <w:numId w:val="76"/>
        </w:numPr>
        <w:shd w:val="clear" w:color="auto" w:fill="FFFFFF"/>
        <w:spacing w:before="0" w:beforeAutospacing="0" w:after="180" w:afterAutospacing="0" w:line="264" w:lineRule="auto"/>
        <w:ind w:left="714" w:hanging="357"/>
        <w:contextualSpacing/>
        <w:jc w:val="both"/>
        <w:rPr>
          <w:rFonts w:asciiTheme="minorHAnsi" w:hAnsiTheme="minorHAnsi"/>
          <w:color w:val="000000"/>
          <w:sz w:val="22"/>
          <w:szCs w:val="22"/>
        </w:rPr>
      </w:pPr>
      <w:r w:rsidRPr="00AF457D">
        <w:rPr>
          <w:rFonts w:asciiTheme="minorHAnsi" w:hAnsiTheme="minorHAnsi"/>
          <w:color w:val="000000"/>
          <w:sz w:val="22"/>
          <w:szCs w:val="22"/>
        </w:rPr>
        <w:t xml:space="preserve">Determinar el período de transición, </w:t>
      </w:r>
    </w:p>
    <w:p w:rsidR="00880939" w:rsidRDefault="00340C81" w:rsidP="00D4302C">
      <w:pPr>
        <w:pStyle w:val="NormalWeb"/>
        <w:numPr>
          <w:ilvl w:val="0"/>
          <w:numId w:val="76"/>
        </w:numPr>
        <w:shd w:val="clear" w:color="auto" w:fill="FFFFFF"/>
        <w:spacing w:before="0" w:beforeAutospacing="0" w:after="180" w:afterAutospacing="0" w:line="264" w:lineRule="auto"/>
        <w:ind w:left="714" w:hanging="357"/>
        <w:contextualSpacing/>
        <w:jc w:val="both"/>
        <w:rPr>
          <w:rFonts w:asciiTheme="minorHAnsi" w:hAnsiTheme="minorHAnsi"/>
          <w:color w:val="000000"/>
          <w:sz w:val="22"/>
          <w:szCs w:val="22"/>
        </w:rPr>
      </w:pPr>
      <w:r w:rsidRPr="00AF457D">
        <w:rPr>
          <w:rFonts w:asciiTheme="minorHAnsi" w:hAnsiTheme="minorHAnsi"/>
          <w:color w:val="000000"/>
          <w:sz w:val="22"/>
          <w:szCs w:val="22"/>
        </w:rPr>
        <w:t xml:space="preserve">Determinar política de difusión y responsabilidades de cada Secretaría, </w:t>
      </w:r>
    </w:p>
    <w:p w:rsidR="00880939" w:rsidRDefault="00340C81" w:rsidP="00D4302C">
      <w:pPr>
        <w:pStyle w:val="NormalWeb"/>
        <w:numPr>
          <w:ilvl w:val="0"/>
          <w:numId w:val="76"/>
        </w:numPr>
        <w:shd w:val="clear" w:color="auto" w:fill="FFFFFF"/>
        <w:spacing w:before="0" w:beforeAutospacing="0" w:after="180" w:afterAutospacing="0" w:line="264" w:lineRule="auto"/>
        <w:ind w:left="714" w:hanging="357"/>
        <w:contextualSpacing/>
        <w:jc w:val="both"/>
        <w:rPr>
          <w:rFonts w:asciiTheme="minorHAnsi" w:hAnsiTheme="minorHAnsi"/>
          <w:color w:val="000000"/>
          <w:sz w:val="22"/>
          <w:szCs w:val="22"/>
        </w:rPr>
      </w:pPr>
      <w:r w:rsidRPr="00AF457D">
        <w:rPr>
          <w:rFonts w:asciiTheme="minorHAnsi" w:hAnsiTheme="minorHAnsi"/>
          <w:color w:val="000000"/>
          <w:sz w:val="22"/>
          <w:szCs w:val="22"/>
        </w:rPr>
        <w:t xml:space="preserve">Revisar las implicaciones en el comercio, </w:t>
      </w:r>
    </w:p>
    <w:p w:rsidR="00880939" w:rsidRDefault="00340C81" w:rsidP="00D4302C">
      <w:pPr>
        <w:pStyle w:val="NormalWeb"/>
        <w:numPr>
          <w:ilvl w:val="0"/>
          <w:numId w:val="76"/>
        </w:numPr>
        <w:shd w:val="clear" w:color="auto" w:fill="FFFFFF"/>
        <w:spacing w:before="0" w:beforeAutospacing="0" w:after="180" w:afterAutospacing="0" w:line="264" w:lineRule="auto"/>
        <w:ind w:left="714" w:hanging="357"/>
        <w:contextualSpacing/>
        <w:jc w:val="both"/>
        <w:rPr>
          <w:rFonts w:asciiTheme="minorHAnsi" w:hAnsiTheme="minorHAnsi"/>
          <w:color w:val="000000"/>
          <w:sz w:val="22"/>
          <w:szCs w:val="22"/>
        </w:rPr>
      </w:pPr>
      <w:r w:rsidRPr="00AF457D">
        <w:rPr>
          <w:rFonts w:asciiTheme="minorHAnsi" w:hAnsiTheme="minorHAnsi"/>
          <w:color w:val="000000"/>
          <w:sz w:val="22"/>
          <w:szCs w:val="22"/>
        </w:rPr>
        <w:t>Establecer contacto directo con socios comerciales para buscar homologar prescripciones y</w:t>
      </w:r>
      <w:r w:rsidR="00880939">
        <w:rPr>
          <w:rFonts w:asciiTheme="minorHAnsi" w:hAnsiTheme="minorHAnsi"/>
          <w:color w:val="000000"/>
          <w:sz w:val="22"/>
          <w:szCs w:val="22"/>
        </w:rPr>
        <w:t xml:space="preserve"> períodos de entrada en vigor </w:t>
      </w:r>
    </w:p>
    <w:p w:rsidR="00340C81" w:rsidRPr="00AF457D" w:rsidRDefault="00340C81" w:rsidP="00D4302C">
      <w:pPr>
        <w:pStyle w:val="NormalWeb"/>
        <w:numPr>
          <w:ilvl w:val="0"/>
          <w:numId w:val="76"/>
        </w:numPr>
        <w:shd w:val="clear" w:color="auto" w:fill="FFFFFF"/>
        <w:spacing w:before="0" w:beforeAutospacing="0" w:after="180" w:afterAutospacing="0" w:line="264" w:lineRule="auto"/>
        <w:ind w:left="714" w:hanging="357"/>
        <w:jc w:val="both"/>
        <w:rPr>
          <w:rFonts w:asciiTheme="minorHAnsi" w:hAnsiTheme="minorHAnsi"/>
          <w:color w:val="000000"/>
          <w:sz w:val="22"/>
          <w:szCs w:val="22"/>
        </w:rPr>
      </w:pPr>
      <w:r w:rsidRPr="00AF457D">
        <w:rPr>
          <w:rFonts w:asciiTheme="minorHAnsi" w:hAnsiTheme="minorHAnsi"/>
          <w:color w:val="000000"/>
          <w:sz w:val="22"/>
          <w:szCs w:val="22"/>
        </w:rPr>
        <w:t>Elaborar el Perfil Químico Nacional.</w:t>
      </w:r>
    </w:p>
    <w:p w:rsidR="00340C81" w:rsidRPr="00AF457D" w:rsidRDefault="00340C81" w:rsidP="00880939">
      <w:pPr>
        <w:pStyle w:val="NormalWeb"/>
        <w:shd w:val="clear" w:color="auto" w:fill="FFFFFF"/>
        <w:spacing w:before="0" w:beforeAutospacing="0" w:after="180" w:afterAutospacing="0" w:line="264" w:lineRule="auto"/>
        <w:jc w:val="both"/>
        <w:rPr>
          <w:rFonts w:asciiTheme="minorHAnsi" w:eastAsiaTheme="minorHAnsi" w:hAnsiTheme="minorHAnsi"/>
          <w:i/>
          <w:kern w:val="24"/>
          <w:sz w:val="22"/>
          <w:szCs w:val="22"/>
        </w:rPr>
      </w:pPr>
      <w:r w:rsidRPr="00AF457D">
        <w:rPr>
          <w:rFonts w:asciiTheme="minorHAnsi" w:eastAsiaTheme="minorHAnsi" w:hAnsiTheme="minorHAnsi"/>
          <w:kern w:val="24"/>
          <w:sz w:val="22"/>
          <w:szCs w:val="22"/>
        </w:rPr>
        <w:t>Realizando</w:t>
      </w:r>
      <w:r w:rsidR="00880939">
        <w:rPr>
          <w:rFonts w:asciiTheme="minorHAnsi" w:eastAsiaTheme="minorHAnsi" w:hAnsiTheme="minorHAnsi"/>
          <w:kern w:val="24"/>
          <w:sz w:val="22"/>
          <w:szCs w:val="22"/>
        </w:rPr>
        <w:t xml:space="preserve"> una</w:t>
      </w:r>
      <w:r w:rsidRPr="00AF457D">
        <w:rPr>
          <w:rFonts w:asciiTheme="minorHAnsi" w:eastAsiaTheme="minorHAnsi" w:hAnsiTheme="minorHAnsi"/>
          <w:kern w:val="24"/>
          <w:sz w:val="22"/>
          <w:szCs w:val="22"/>
        </w:rPr>
        <w:t xml:space="preserve"> búsqueda web se ha podido establecer que México presenta avances significativos en cuanto a modificación y/o elaboración de normativa pertinente a la implementación del GHS</w:t>
      </w:r>
      <w:r w:rsidR="00880939">
        <w:rPr>
          <w:rFonts w:asciiTheme="minorHAnsi" w:eastAsiaTheme="minorHAnsi" w:hAnsiTheme="minorHAnsi"/>
          <w:kern w:val="24"/>
          <w:sz w:val="22"/>
          <w:szCs w:val="22"/>
        </w:rPr>
        <w:t>, en particular en el Sector Plaguicidas</w:t>
      </w:r>
      <w:r w:rsidRPr="00AF457D">
        <w:rPr>
          <w:rFonts w:asciiTheme="minorHAnsi" w:eastAsiaTheme="minorHAnsi" w:hAnsiTheme="minorHAnsi"/>
          <w:kern w:val="24"/>
          <w:sz w:val="22"/>
          <w:szCs w:val="22"/>
        </w:rPr>
        <w:t>. Por ejemplo</w:t>
      </w:r>
      <w:r w:rsidR="00880939">
        <w:rPr>
          <w:rFonts w:asciiTheme="minorHAnsi" w:eastAsiaTheme="minorHAnsi" w:hAnsiTheme="minorHAnsi"/>
          <w:kern w:val="24"/>
          <w:sz w:val="22"/>
          <w:szCs w:val="22"/>
        </w:rPr>
        <w:t>,</w:t>
      </w:r>
      <w:r w:rsidRPr="00AF457D">
        <w:rPr>
          <w:rFonts w:asciiTheme="minorHAnsi" w:eastAsiaTheme="minorHAnsi" w:hAnsiTheme="minorHAnsi"/>
          <w:kern w:val="24"/>
          <w:sz w:val="22"/>
          <w:szCs w:val="22"/>
        </w:rPr>
        <w:t xml:space="preserve"> cuenta desde el año 2009 con la </w:t>
      </w:r>
      <w:r w:rsidR="00880939">
        <w:rPr>
          <w:rFonts w:asciiTheme="minorHAnsi" w:eastAsiaTheme="minorHAnsi" w:hAnsiTheme="minorHAnsi"/>
          <w:kern w:val="24"/>
          <w:sz w:val="22"/>
          <w:szCs w:val="22"/>
        </w:rPr>
        <w:t>“</w:t>
      </w:r>
      <w:r w:rsidRPr="00AF457D">
        <w:rPr>
          <w:rFonts w:asciiTheme="minorHAnsi" w:eastAsiaTheme="minorHAnsi" w:hAnsiTheme="minorHAnsi"/>
          <w:kern w:val="24"/>
          <w:sz w:val="22"/>
          <w:szCs w:val="22"/>
        </w:rPr>
        <w:t>Ley General de Salud</w:t>
      </w:r>
      <w:r w:rsidR="00880939">
        <w:rPr>
          <w:rFonts w:asciiTheme="minorHAnsi" w:eastAsiaTheme="minorHAnsi" w:hAnsiTheme="minorHAnsi"/>
          <w:kern w:val="24"/>
          <w:sz w:val="22"/>
          <w:szCs w:val="22"/>
        </w:rPr>
        <w:t>”</w:t>
      </w:r>
      <w:r w:rsidRPr="00AF457D">
        <w:rPr>
          <w:rFonts w:asciiTheme="minorHAnsi" w:eastAsiaTheme="minorHAnsi" w:hAnsiTheme="minorHAnsi"/>
          <w:kern w:val="24"/>
          <w:sz w:val="22"/>
          <w:szCs w:val="22"/>
        </w:rPr>
        <w:t>, en la que se establecen responsabilidades de la Secretaría de Salud respecto a distintos aspectos asociados al GHS. Es así que en el Artículo 276, parte V se indica que es responsabilidad de esta secretaría “</w:t>
      </w:r>
      <w:r w:rsidRPr="00AF457D">
        <w:rPr>
          <w:rFonts w:asciiTheme="minorHAnsi" w:eastAsiaTheme="minorHAnsi" w:hAnsiTheme="minorHAnsi"/>
          <w:i/>
          <w:kern w:val="24"/>
          <w:sz w:val="22"/>
          <w:szCs w:val="22"/>
        </w:rPr>
        <w:t xml:space="preserve">Establecer, en coordinación con las dependencias competentes, las normas oficiales mexicanas en las que se especifiquen las condiciones que se deberán cumplir para fabricar, formular, envasar, etiquetar, embalar, almacenar, transportar, comercializar y aplicar plaguicidas, nutrientes vegetales y substancias tóxicas o peligrosas en cualquier fase de su ciclo de vida. A efecto de proteger la salud de la población prevalecerá la opinión de la Secretaría de Salud”. </w:t>
      </w:r>
      <w:r w:rsidRPr="00AF457D">
        <w:rPr>
          <w:rFonts w:asciiTheme="minorHAnsi" w:eastAsiaTheme="minorHAnsi" w:hAnsiTheme="minorHAnsi"/>
          <w:kern w:val="24"/>
          <w:sz w:val="22"/>
          <w:szCs w:val="22"/>
        </w:rPr>
        <w:t>Así mismo en el Artículo 281 se indica que</w:t>
      </w:r>
      <w:r w:rsidRPr="00AF457D">
        <w:rPr>
          <w:rFonts w:asciiTheme="minorHAnsi" w:eastAsiaTheme="minorHAnsi" w:hAnsiTheme="minorHAnsi"/>
          <w:i/>
          <w:kern w:val="24"/>
          <w:sz w:val="22"/>
          <w:szCs w:val="22"/>
        </w:rPr>
        <w:t xml:space="preserve"> “Las etiquetas de los envases de los plaguicidas, nutrientes vegetales y substancias tóxicas o peligrosas, en lo conducente, deberán ostentar, en español, claramente la leyenda sobre los peligros que implica el manejo del producto, su forma de uso, sus antídotos en caso de intoxicación y el manejo de los envases que los contengan o los hayan contenido, de conformidad con las disposiciones legales aplicables y con las normas que dicte la Secretaría de Salud”.</w:t>
      </w:r>
    </w:p>
    <w:p w:rsidR="00C37B65" w:rsidRDefault="00340C81" w:rsidP="00606EAC">
      <w:pPr>
        <w:pStyle w:val="NormalWeb"/>
        <w:shd w:val="clear" w:color="auto" w:fill="FFFFFF"/>
        <w:spacing w:before="0" w:beforeAutospacing="0" w:after="180" w:afterAutospacing="0" w:line="264" w:lineRule="auto"/>
        <w:jc w:val="both"/>
        <w:rPr>
          <w:rFonts w:asciiTheme="minorHAnsi" w:eastAsiaTheme="minorHAnsi" w:hAnsiTheme="minorHAnsi"/>
          <w:kern w:val="24"/>
          <w:sz w:val="22"/>
          <w:szCs w:val="22"/>
        </w:rPr>
      </w:pPr>
      <w:r w:rsidRPr="00AF457D">
        <w:rPr>
          <w:rFonts w:asciiTheme="minorHAnsi" w:eastAsiaTheme="minorHAnsi" w:hAnsiTheme="minorHAnsi"/>
          <w:kern w:val="24"/>
          <w:sz w:val="22"/>
          <w:szCs w:val="22"/>
        </w:rPr>
        <w:t xml:space="preserve">Adicional a lo anterior, </w:t>
      </w:r>
      <w:r w:rsidR="005E36FA">
        <w:rPr>
          <w:rFonts w:asciiTheme="minorHAnsi" w:eastAsiaTheme="minorHAnsi" w:hAnsiTheme="minorHAnsi"/>
          <w:kern w:val="24"/>
          <w:sz w:val="22"/>
          <w:szCs w:val="22"/>
        </w:rPr>
        <w:t xml:space="preserve">y en forma general para todos otros sectores, </w:t>
      </w:r>
      <w:r w:rsidRPr="00AF457D">
        <w:rPr>
          <w:rFonts w:asciiTheme="minorHAnsi" w:eastAsiaTheme="minorHAnsi" w:hAnsiTheme="minorHAnsi"/>
          <w:kern w:val="24"/>
          <w:sz w:val="22"/>
          <w:szCs w:val="22"/>
        </w:rPr>
        <w:t xml:space="preserve">desde el año 2011 se cuenta con la norma NMX-R-019-SCFI-2011 </w:t>
      </w:r>
      <w:r w:rsidR="005E36FA">
        <w:rPr>
          <w:rFonts w:asciiTheme="minorHAnsi" w:eastAsiaTheme="minorHAnsi" w:hAnsiTheme="minorHAnsi"/>
          <w:kern w:val="24"/>
          <w:sz w:val="22"/>
          <w:szCs w:val="22"/>
        </w:rPr>
        <w:t>“</w:t>
      </w:r>
      <w:r w:rsidRPr="00AF457D">
        <w:rPr>
          <w:rFonts w:asciiTheme="minorHAnsi" w:eastAsiaTheme="minorHAnsi" w:hAnsiTheme="minorHAnsi"/>
          <w:kern w:val="24"/>
          <w:sz w:val="22"/>
          <w:szCs w:val="22"/>
        </w:rPr>
        <w:t>Sistema armonizado de clasificación y comunicación de peligros de los productos químicos</w:t>
      </w:r>
      <w:r w:rsidR="005E36FA">
        <w:rPr>
          <w:rFonts w:asciiTheme="minorHAnsi" w:eastAsiaTheme="minorHAnsi" w:hAnsiTheme="minorHAnsi"/>
          <w:kern w:val="24"/>
          <w:sz w:val="22"/>
          <w:szCs w:val="22"/>
        </w:rPr>
        <w:t>”</w:t>
      </w:r>
      <w:r w:rsidRPr="00AF457D">
        <w:rPr>
          <w:rFonts w:asciiTheme="minorHAnsi" w:eastAsiaTheme="minorHAnsi" w:hAnsiTheme="minorHAnsi"/>
          <w:kern w:val="24"/>
          <w:sz w:val="22"/>
          <w:szCs w:val="22"/>
        </w:rPr>
        <w:t>. En esta norma se adopta en su tota</w:t>
      </w:r>
      <w:r w:rsidR="005E36FA">
        <w:rPr>
          <w:rFonts w:asciiTheme="minorHAnsi" w:eastAsiaTheme="minorHAnsi" w:hAnsiTheme="minorHAnsi"/>
          <w:kern w:val="24"/>
          <w:sz w:val="22"/>
          <w:szCs w:val="22"/>
        </w:rPr>
        <w:t>lidad la 3° edición del Libro Pú</w:t>
      </w:r>
      <w:r w:rsidRPr="00AF457D">
        <w:rPr>
          <w:rFonts w:asciiTheme="minorHAnsi" w:eastAsiaTheme="minorHAnsi" w:hAnsiTheme="minorHAnsi"/>
          <w:kern w:val="24"/>
          <w:sz w:val="22"/>
          <w:szCs w:val="22"/>
        </w:rPr>
        <w:t>rpura del GHS y se toma</w:t>
      </w:r>
      <w:r w:rsidR="005E36FA">
        <w:rPr>
          <w:rFonts w:asciiTheme="minorHAnsi" w:eastAsiaTheme="minorHAnsi" w:hAnsiTheme="minorHAnsi"/>
          <w:kern w:val="24"/>
          <w:sz w:val="22"/>
          <w:szCs w:val="22"/>
        </w:rPr>
        <w:t>n</w:t>
      </w:r>
      <w:r w:rsidRPr="00AF457D">
        <w:rPr>
          <w:rFonts w:asciiTheme="minorHAnsi" w:eastAsiaTheme="minorHAnsi" w:hAnsiTheme="minorHAnsi"/>
          <w:kern w:val="24"/>
          <w:sz w:val="22"/>
          <w:szCs w:val="22"/>
        </w:rPr>
        <w:t xml:space="preserve"> en consideración las recomendaciones del Libro Naranja de la ONU “Recomendaciones relativas al transporte de mercancías peligrosas” así como distintas directrices de la OCDE sobre ensayos con</w:t>
      </w:r>
      <w:r w:rsidR="005E36FA">
        <w:rPr>
          <w:rFonts w:asciiTheme="minorHAnsi" w:eastAsiaTheme="minorHAnsi" w:hAnsiTheme="minorHAnsi"/>
          <w:kern w:val="24"/>
          <w:sz w:val="22"/>
          <w:szCs w:val="22"/>
        </w:rPr>
        <w:t xml:space="preserve"> productos químicos, además,</w:t>
      </w:r>
      <w:r>
        <w:rPr>
          <w:rFonts w:asciiTheme="minorHAnsi" w:eastAsiaTheme="minorHAnsi" w:hAnsiTheme="minorHAnsi"/>
          <w:kern w:val="24"/>
          <w:sz w:val="22"/>
          <w:szCs w:val="22"/>
        </w:rPr>
        <w:t xml:space="preserve"> </w:t>
      </w:r>
      <w:r w:rsidRPr="00EF5048">
        <w:rPr>
          <w:rFonts w:asciiTheme="minorHAnsi" w:eastAsiaTheme="minorHAnsi" w:hAnsiTheme="minorHAnsi"/>
          <w:kern w:val="24"/>
          <w:sz w:val="22"/>
          <w:szCs w:val="22"/>
        </w:rPr>
        <w:t xml:space="preserve">el pasado </w:t>
      </w:r>
      <w:r>
        <w:rPr>
          <w:rFonts w:asciiTheme="minorHAnsi" w:eastAsiaTheme="minorHAnsi" w:hAnsiTheme="minorHAnsi"/>
          <w:kern w:val="24"/>
          <w:sz w:val="22"/>
          <w:szCs w:val="22"/>
        </w:rPr>
        <w:t>0</w:t>
      </w:r>
      <w:r w:rsidRPr="00EF5048">
        <w:rPr>
          <w:rFonts w:asciiTheme="minorHAnsi" w:eastAsiaTheme="minorHAnsi" w:hAnsiTheme="minorHAnsi"/>
          <w:kern w:val="24"/>
          <w:sz w:val="22"/>
          <w:szCs w:val="22"/>
        </w:rPr>
        <w:t xml:space="preserve">6 de septiembre de 2013 se publicó en el Diario Oficial el acuerdo de modificación a la NOM-018-STPS-2000 del </w:t>
      </w:r>
      <w:r w:rsidR="005E36FA">
        <w:rPr>
          <w:rFonts w:asciiTheme="minorHAnsi" w:eastAsiaTheme="minorHAnsi" w:hAnsiTheme="minorHAnsi"/>
          <w:kern w:val="24"/>
          <w:sz w:val="22"/>
          <w:szCs w:val="22"/>
        </w:rPr>
        <w:t>“</w:t>
      </w:r>
      <w:r w:rsidRPr="00EF5048">
        <w:rPr>
          <w:rFonts w:asciiTheme="minorHAnsi" w:eastAsiaTheme="minorHAnsi" w:hAnsiTheme="minorHAnsi"/>
          <w:kern w:val="24"/>
          <w:sz w:val="22"/>
          <w:szCs w:val="22"/>
        </w:rPr>
        <w:t>Sistema para la identificación y comunicación de peligros y riesgos por sustancias químicas peligrosas en los centros de trabajo</w:t>
      </w:r>
      <w:r w:rsidR="005E36FA">
        <w:rPr>
          <w:rFonts w:asciiTheme="minorHAnsi" w:eastAsiaTheme="minorHAnsi" w:hAnsiTheme="minorHAnsi"/>
          <w:kern w:val="24"/>
          <w:sz w:val="22"/>
          <w:szCs w:val="22"/>
        </w:rPr>
        <w:t>”</w:t>
      </w:r>
      <w:r w:rsidRPr="00EF5048">
        <w:rPr>
          <w:rFonts w:asciiTheme="minorHAnsi" w:eastAsiaTheme="minorHAnsi" w:hAnsiTheme="minorHAnsi"/>
          <w:kern w:val="24"/>
          <w:sz w:val="22"/>
          <w:szCs w:val="22"/>
        </w:rPr>
        <w:t>, que establece la obligatoriedad del uso del GHS</w:t>
      </w:r>
      <w:r w:rsidR="006831E0">
        <w:rPr>
          <w:rFonts w:asciiTheme="minorHAnsi" w:eastAsiaTheme="minorHAnsi" w:hAnsiTheme="minorHAnsi"/>
          <w:kern w:val="24"/>
          <w:sz w:val="22"/>
          <w:szCs w:val="22"/>
        </w:rPr>
        <w:t>.</w:t>
      </w:r>
    </w:p>
    <w:p w:rsidR="00340C81" w:rsidRPr="005E36FA" w:rsidRDefault="00424527" w:rsidP="00606EAC">
      <w:pPr>
        <w:pStyle w:val="NormalWeb"/>
        <w:shd w:val="clear" w:color="auto" w:fill="FFFFFF"/>
        <w:spacing w:before="0" w:beforeAutospacing="0" w:after="0" w:afterAutospacing="0"/>
        <w:jc w:val="center"/>
        <w:rPr>
          <w:rFonts w:asciiTheme="minorHAnsi" w:hAnsiTheme="minorHAnsi"/>
          <w:b/>
          <w:color w:val="000000"/>
          <w:sz w:val="22"/>
          <w:szCs w:val="22"/>
        </w:rPr>
      </w:pPr>
      <w:r w:rsidRPr="005E36FA">
        <w:rPr>
          <w:rFonts w:asciiTheme="minorHAnsi" w:hAnsiTheme="minorHAnsi"/>
          <w:b/>
          <w:color w:val="000000"/>
          <w:sz w:val="22"/>
          <w:szCs w:val="22"/>
        </w:rPr>
        <w:t>Figura 1</w:t>
      </w:r>
      <w:r w:rsidR="00340C81" w:rsidRPr="005E36FA">
        <w:rPr>
          <w:rFonts w:asciiTheme="minorHAnsi" w:hAnsiTheme="minorHAnsi"/>
          <w:b/>
          <w:color w:val="000000"/>
          <w:sz w:val="22"/>
          <w:szCs w:val="22"/>
        </w:rPr>
        <w:t>. Ejemplo de etiqueta para sustancias peligrosas según normativa mexicana</w:t>
      </w:r>
    </w:p>
    <w:p w:rsidR="00340C81" w:rsidRPr="00AF457D" w:rsidRDefault="00340C81" w:rsidP="00606EAC">
      <w:pPr>
        <w:pStyle w:val="NormalWeb"/>
        <w:shd w:val="clear" w:color="auto" w:fill="FFFFFF"/>
        <w:spacing w:before="0" w:beforeAutospacing="0" w:after="0" w:afterAutospacing="0"/>
        <w:jc w:val="center"/>
        <w:rPr>
          <w:rFonts w:asciiTheme="minorHAnsi" w:hAnsiTheme="minorHAnsi"/>
          <w:color w:val="000000"/>
          <w:sz w:val="22"/>
          <w:szCs w:val="22"/>
          <w:highlight w:val="yellow"/>
        </w:rPr>
      </w:pPr>
      <w:r w:rsidRPr="004D057A">
        <w:rPr>
          <w:rFonts w:asciiTheme="minorHAnsi" w:hAnsiTheme="minorHAnsi"/>
          <w:noProof/>
          <w:color w:val="000000"/>
          <w:sz w:val="22"/>
          <w:szCs w:val="22"/>
          <w:lang w:val="en-AU" w:eastAsia="en-AU"/>
        </w:rPr>
        <w:drawing>
          <wp:inline distT="0" distB="0" distL="0" distR="0" wp14:anchorId="2309B6D9" wp14:editId="46B85D3D">
            <wp:extent cx="5018100" cy="3378493"/>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23629" cy="3382215"/>
                    </a:xfrm>
                    <a:prstGeom prst="rect">
                      <a:avLst/>
                    </a:prstGeom>
                    <a:noFill/>
                    <a:ln>
                      <a:noFill/>
                    </a:ln>
                  </pic:spPr>
                </pic:pic>
              </a:graphicData>
            </a:graphic>
          </wp:inline>
        </w:drawing>
      </w:r>
    </w:p>
    <w:p w:rsidR="00340C81" w:rsidRPr="00AF457D" w:rsidRDefault="00340C81" w:rsidP="00606EAC">
      <w:pPr>
        <w:pStyle w:val="NormalWeb"/>
        <w:shd w:val="clear" w:color="auto" w:fill="FFFFFF"/>
        <w:spacing w:before="0" w:beforeAutospacing="0" w:after="0" w:afterAutospacing="0"/>
        <w:jc w:val="both"/>
        <w:rPr>
          <w:rFonts w:asciiTheme="minorHAnsi" w:hAnsiTheme="minorHAnsi"/>
          <w:color w:val="000000"/>
          <w:sz w:val="22"/>
          <w:szCs w:val="22"/>
        </w:rPr>
      </w:pPr>
    </w:p>
    <w:p w:rsidR="00340C81" w:rsidRPr="00AF457D" w:rsidRDefault="00340C81" w:rsidP="00606EAC">
      <w:pPr>
        <w:pStyle w:val="NormalWeb"/>
        <w:shd w:val="clear" w:color="auto" w:fill="FFFFFF"/>
        <w:spacing w:before="0" w:beforeAutospacing="0" w:after="180" w:afterAutospacing="0" w:line="264" w:lineRule="auto"/>
        <w:jc w:val="both"/>
        <w:rPr>
          <w:rFonts w:asciiTheme="minorHAnsi" w:eastAsiaTheme="minorHAnsi" w:hAnsiTheme="minorHAnsi"/>
          <w:kern w:val="24"/>
          <w:sz w:val="22"/>
          <w:szCs w:val="22"/>
        </w:rPr>
      </w:pPr>
      <w:r w:rsidRPr="00AF457D">
        <w:rPr>
          <w:rFonts w:asciiTheme="minorHAnsi" w:eastAsiaTheme="minorHAnsi" w:hAnsiTheme="minorHAnsi"/>
          <w:kern w:val="24"/>
          <w:sz w:val="22"/>
          <w:szCs w:val="22"/>
        </w:rPr>
        <w:t>Para establecer el nivel de implementación del GHS en México se tiene como principal referencia el documento “</w:t>
      </w:r>
      <w:r w:rsidRPr="00AF457D">
        <w:rPr>
          <w:rFonts w:asciiTheme="minorHAnsi" w:eastAsiaTheme="minorHAnsi" w:hAnsiTheme="minorHAnsi"/>
          <w:i/>
          <w:kern w:val="24"/>
          <w:sz w:val="22"/>
          <w:szCs w:val="22"/>
        </w:rPr>
        <w:t>Informe nacional de México sobre los temas de los períodos de sesiones 18° y |9° de la Comisión de Naciones Unidas sobre el Desarrollo Sostenible (2010-2011)</w:t>
      </w:r>
      <w:r w:rsidRPr="00AF457D">
        <w:rPr>
          <w:rFonts w:asciiTheme="minorHAnsi" w:eastAsiaTheme="minorHAnsi" w:hAnsiTheme="minorHAnsi"/>
          <w:kern w:val="24"/>
          <w:sz w:val="22"/>
          <w:szCs w:val="22"/>
        </w:rPr>
        <w:t>”</w:t>
      </w:r>
      <w:r w:rsidRPr="00AF457D">
        <w:rPr>
          <w:rStyle w:val="FootnoteReference"/>
          <w:rFonts w:asciiTheme="minorHAnsi" w:eastAsiaTheme="minorHAnsi" w:hAnsiTheme="minorHAnsi"/>
          <w:kern w:val="24"/>
          <w:sz w:val="22"/>
          <w:szCs w:val="22"/>
        </w:rPr>
        <w:footnoteReference w:id="11"/>
      </w:r>
      <w:r w:rsidRPr="00AF457D">
        <w:rPr>
          <w:rFonts w:asciiTheme="minorHAnsi" w:eastAsiaTheme="minorHAnsi" w:hAnsiTheme="minorHAnsi"/>
          <w:kern w:val="24"/>
          <w:sz w:val="22"/>
          <w:szCs w:val="22"/>
        </w:rPr>
        <w:t xml:space="preserve">. En este documento se hace una revisión de los avances a la fecha respecto de la gestión de sustancias químicas. Se indica con respecto a los plaguicidas, que se cuenta con reglamentación en materia de registros, autorizaciones de importación y exportación y certificados de exportación de plaguicidas, nutrientes vegetales y sustancias y materiales tóxicos o peligrosos, </w:t>
      </w:r>
      <w:r w:rsidR="00F97201">
        <w:rPr>
          <w:rFonts w:asciiTheme="minorHAnsi" w:eastAsiaTheme="minorHAnsi" w:hAnsiTheme="minorHAnsi"/>
          <w:kern w:val="24"/>
          <w:sz w:val="22"/>
          <w:szCs w:val="22"/>
        </w:rPr>
        <w:t>la</w:t>
      </w:r>
      <w:r w:rsidRPr="00AF457D">
        <w:rPr>
          <w:rFonts w:asciiTheme="minorHAnsi" w:eastAsiaTheme="minorHAnsi" w:hAnsiTheme="minorHAnsi"/>
          <w:kern w:val="24"/>
          <w:sz w:val="22"/>
          <w:szCs w:val="22"/>
        </w:rPr>
        <w:t xml:space="preserve"> cual establece el mecanismo de evaluación y permite el uso de metodologías establecidas a nivel internacional y por algunos países líderes en la materia. </w:t>
      </w:r>
    </w:p>
    <w:p w:rsidR="00340C81" w:rsidRPr="00AF457D" w:rsidRDefault="00340C81" w:rsidP="00606EAC">
      <w:pPr>
        <w:pStyle w:val="NormalWeb"/>
        <w:shd w:val="clear" w:color="auto" w:fill="FFFFFF"/>
        <w:spacing w:before="0" w:beforeAutospacing="0" w:after="180" w:afterAutospacing="0" w:line="264" w:lineRule="auto"/>
        <w:jc w:val="both"/>
        <w:rPr>
          <w:rFonts w:asciiTheme="minorHAnsi" w:eastAsiaTheme="minorHAnsi" w:hAnsiTheme="minorHAnsi"/>
          <w:kern w:val="24"/>
          <w:sz w:val="22"/>
          <w:szCs w:val="22"/>
        </w:rPr>
      </w:pPr>
      <w:r w:rsidRPr="00AF457D">
        <w:rPr>
          <w:rFonts w:asciiTheme="minorHAnsi" w:eastAsiaTheme="minorHAnsi" w:hAnsiTheme="minorHAnsi"/>
          <w:kern w:val="24"/>
          <w:sz w:val="22"/>
          <w:szCs w:val="22"/>
        </w:rPr>
        <w:t>Se indica</w:t>
      </w:r>
      <w:r w:rsidR="00F97201">
        <w:rPr>
          <w:rFonts w:asciiTheme="minorHAnsi" w:eastAsiaTheme="minorHAnsi" w:hAnsiTheme="minorHAnsi"/>
          <w:kern w:val="24"/>
          <w:sz w:val="22"/>
          <w:szCs w:val="22"/>
        </w:rPr>
        <w:t>, además,</w:t>
      </w:r>
      <w:r w:rsidRPr="00AF457D">
        <w:rPr>
          <w:rFonts w:asciiTheme="minorHAnsi" w:eastAsiaTheme="minorHAnsi" w:hAnsiTheme="minorHAnsi"/>
          <w:kern w:val="24"/>
          <w:sz w:val="22"/>
          <w:szCs w:val="22"/>
        </w:rPr>
        <w:t xml:space="preserve"> que con el fin de clasificar, etiquetar y comunicar los riesgos de las sustancias peligrosas, México ha elaborado una serie de normas para la clasificación, etiquetado y comunicación de los peligros de ciertos productos químicos. Asimismo, se ha adoptado en la normativa nacional de transporte de materiales peligrosos, el Sistema Global Armonizado de Clasificación y Etiquetado de Químicos (GHS).</w:t>
      </w:r>
    </w:p>
    <w:p w:rsidR="00340C81" w:rsidRPr="00AF457D" w:rsidRDefault="00340C81" w:rsidP="00606EAC">
      <w:pPr>
        <w:pStyle w:val="NormalWeb"/>
        <w:shd w:val="clear" w:color="auto" w:fill="FFFFFF"/>
        <w:spacing w:before="0" w:beforeAutospacing="0" w:after="180" w:afterAutospacing="0" w:line="264" w:lineRule="auto"/>
        <w:jc w:val="both"/>
        <w:rPr>
          <w:rFonts w:asciiTheme="minorHAnsi" w:eastAsiaTheme="minorHAnsi" w:hAnsiTheme="minorHAnsi"/>
          <w:kern w:val="24"/>
          <w:sz w:val="22"/>
          <w:szCs w:val="22"/>
        </w:rPr>
      </w:pPr>
      <w:r w:rsidRPr="00AF457D">
        <w:rPr>
          <w:rFonts w:asciiTheme="minorHAnsi" w:eastAsiaTheme="minorHAnsi" w:hAnsiTheme="minorHAnsi"/>
          <w:kern w:val="24"/>
          <w:sz w:val="22"/>
          <w:szCs w:val="22"/>
        </w:rPr>
        <w:t>Se han realizado acuerdos para la capacitación al personal relativa a evaluación de riesgos de productos químicos, en particular de plaguicidas, en colaboración con la EPA de los EE.UU.</w:t>
      </w:r>
    </w:p>
    <w:p w:rsidR="00340C81" w:rsidRPr="00AF457D" w:rsidRDefault="00F97201" w:rsidP="00606EAC">
      <w:pPr>
        <w:pStyle w:val="NormalWeb"/>
        <w:shd w:val="clear" w:color="auto" w:fill="FFFFFF"/>
        <w:spacing w:before="0" w:beforeAutospacing="0" w:after="180" w:afterAutospacing="0" w:line="264" w:lineRule="auto"/>
        <w:jc w:val="both"/>
        <w:rPr>
          <w:rFonts w:asciiTheme="minorHAnsi" w:eastAsiaTheme="minorHAnsi" w:hAnsiTheme="minorHAnsi"/>
          <w:kern w:val="24"/>
          <w:sz w:val="22"/>
          <w:szCs w:val="22"/>
        </w:rPr>
      </w:pPr>
      <w:r>
        <w:rPr>
          <w:rFonts w:asciiTheme="minorHAnsi" w:eastAsiaTheme="minorHAnsi" w:hAnsiTheme="minorHAnsi"/>
          <w:kern w:val="24"/>
          <w:sz w:val="22"/>
          <w:szCs w:val="22"/>
        </w:rPr>
        <w:t>Por otra parte, l</w:t>
      </w:r>
      <w:r w:rsidR="00340C81" w:rsidRPr="00AF457D">
        <w:rPr>
          <w:rFonts w:asciiTheme="minorHAnsi" w:eastAsiaTheme="minorHAnsi" w:hAnsiTheme="minorHAnsi"/>
          <w:kern w:val="24"/>
          <w:sz w:val="22"/>
          <w:szCs w:val="22"/>
        </w:rPr>
        <w:t xml:space="preserve">a SEMARNAT (Secretaría de Medio Ambiente y Recursos Naturales), a través del Instituto Nacional de Ecología con el apoyo de la Comisión de Cooperación Ambiental de América del Norte (CCA) y del Departamento de Medio Ambiente del Reino Unido (DEFRA), se encuentra elaborando un Inventario Nacional de Sustancias Químicas que pretende integrar criterios adicionales a los volúmenes de producción o comercio en México, entre </w:t>
      </w:r>
      <w:r>
        <w:rPr>
          <w:rFonts w:asciiTheme="minorHAnsi" w:eastAsiaTheme="minorHAnsi" w:hAnsiTheme="minorHAnsi"/>
          <w:kern w:val="24"/>
          <w:sz w:val="22"/>
          <w:szCs w:val="22"/>
        </w:rPr>
        <w:t>ellos,</w:t>
      </w:r>
      <w:r w:rsidR="00340C81" w:rsidRPr="00AF457D">
        <w:rPr>
          <w:rFonts w:asciiTheme="minorHAnsi" w:eastAsiaTheme="minorHAnsi" w:hAnsiTheme="minorHAnsi"/>
          <w:kern w:val="24"/>
          <w:sz w:val="22"/>
          <w:szCs w:val="22"/>
        </w:rPr>
        <w:t xml:space="preserve"> las características de peligrosidad de las sustancias químicas relevantes para </w:t>
      </w:r>
      <w:r>
        <w:rPr>
          <w:rFonts w:asciiTheme="minorHAnsi" w:eastAsiaTheme="minorHAnsi" w:hAnsiTheme="minorHAnsi"/>
          <w:kern w:val="24"/>
          <w:sz w:val="22"/>
          <w:szCs w:val="22"/>
        </w:rPr>
        <w:t>el país</w:t>
      </w:r>
      <w:r w:rsidR="00340C81" w:rsidRPr="00AF457D">
        <w:rPr>
          <w:rFonts w:asciiTheme="minorHAnsi" w:eastAsiaTheme="minorHAnsi" w:hAnsiTheme="minorHAnsi"/>
          <w:kern w:val="24"/>
          <w:sz w:val="22"/>
          <w:szCs w:val="22"/>
        </w:rPr>
        <w:t>.</w:t>
      </w:r>
    </w:p>
    <w:p w:rsidR="00340C81" w:rsidRPr="00AF457D" w:rsidRDefault="00340C81" w:rsidP="00606EAC">
      <w:pPr>
        <w:pStyle w:val="NormalWeb"/>
        <w:shd w:val="clear" w:color="auto" w:fill="FFFFFF"/>
        <w:spacing w:before="0" w:beforeAutospacing="0" w:after="180" w:afterAutospacing="0" w:line="264" w:lineRule="auto"/>
        <w:jc w:val="both"/>
        <w:rPr>
          <w:rFonts w:asciiTheme="minorHAnsi" w:eastAsiaTheme="minorHAnsi" w:hAnsiTheme="minorHAnsi"/>
          <w:kern w:val="24"/>
          <w:sz w:val="22"/>
          <w:szCs w:val="22"/>
        </w:rPr>
      </w:pPr>
      <w:r w:rsidRPr="00AF457D">
        <w:rPr>
          <w:rFonts w:asciiTheme="minorHAnsi" w:eastAsiaTheme="minorHAnsi" w:hAnsiTheme="minorHAnsi"/>
          <w:kern w:val="24"/>
          <w:sz w:val="22"/>
          <w:szCs w:val="22"/>
        </w:rPr>
        <w:t>A nivel de lecciones aprendidas, en el mencionado documento se indica que ya se cuenta con un diagnóstico de la problemática de México en esta temática, pero que existe carencia de recursos económicos para llevar a cabo las tareas identificadas. La constante en todas las instancias involucradas ha sido la falta de recursos humanos y económicos para hacer frente a este tipo de compromisos, que permitan alcanzar un verdadero desarrollo sostenible.</w:t>
      </w:r>
    </w:p>
    <w:p w:rsidR="00C264E4" w:rsidRPr="00EE6CDC" w:rsidRDefault="00F97201" w:rsidP="00606EAC">
      <w:pPr>
        <w:jc w:val="both"/>
        <w:rPr>
          <w:sz w:val="22"/>
          <w:szCs w:val="22"/>
        </w:rPr>
      </w:pPr>
      <w:r>
        <w:rPr>
          <w:sz w:val="22"/>
          <w:szCs w:val="22"/>
        </w:rPr>
        <w:t>Adicionalmente a esta información analizada</w:t>
      </w:r>
      <w:r w:rsidR="00C264E4" w:rsidRPr="00EE6CDC">
        <w:rPr>
          <w:sz w:val="22"/>
          <w:szCs w:val="22"/>
          <w:lang w:val="es-CL"/>
        </w:rPr>
        <w:t>, se contactó vía telefónica a la Sra</w:t>
      </w:r>
      <w:r w:rsidR="006831E0">
        <w:rPr>
          <w:sz w:val="22"/>
          <w:szCs w:val="22"/>
          <w:lang w:val="es-CL"/>
        </w:rPr>
        <w:t>.</w:t>
      </w:r>
      <w:r w:rsidR="00C264E4" w:rsidRPr="00EE6CDC">
        <w:rPr>
          <w:sz w:val="22"/>
          <w:szCs w:val="22"/>
          <w:lang w:val="es-CL"/>
        </w:rPr>
        <w:t xml:space="preserve"> </w:t>
      </w:r>
      <w:r w:rsidR="00C264E4" w:rsidRPr="00EE6CDC">
        <w:rPr>
          <w:sz w:val="22"/>
          <w:szCs w:val="22"/>
        </w:rPr>
        <w:t>Leticia Abrego, asesor legal de Abrego &amp; Obregon, consultoría especialista en asuntos técnicos-regulatorios de plaguicidas y nutrientes vegetales (contacto sugerido por Sra. María Elvira Lermanda, AFIPA), a quien se le realizaron algunas consultas pertinentes sobre cómo ha sido el proceso del GHS en ese país y saber su punto vista sobre los pro y contras d</w:t>
      </w:r>
      <w:r w:rsidR="00890F84">
        <w:rPr>
          <w:sz w:val="22"/>
          <w:szCs w:val="22"/>
        </w:rPr>
        <w:t>e la implementación del sistema, en específico en el sector plaguicidas.</w:t>
      </w:r>
    </w:p>
    <w:p w:rsidR="00C264E4" w:rsidRPr="00F97201" w:rsidRDefault="00C264E4" w:rsidP="00606EAC">
      <w:pPr>
        <w:jc w:val="both"/>
        <w:rPr>
          <w:rFonts w:cs="Arial"/>
          <w:bCs/>
          <w:sz w:val="22"/>
          <w:szCs w:val="22"/>
        </w:rPr>
      </w:pPr>
      <w:r w:rsidRPr="00F97201">
        <w:rPr>
          <w:sz w:val="22"/>
          <w:szCs w:val="22"/>
          <w:lang w:val="es-CL"/>
        </w:rPr>
        <w:t xml:space="preserve">En México, el gobierno comunicó a los sectores industriales de sustancias químicas sobre el compromiso de adoptar el sistema GHS en el país y que cada sector debía analizar cuál era la normativa relacionada y qué medidas se tomarían para la implementación. En el caso </w:t>
      </w:r>
      <w:r w:rsidR="00890F84" w:rsidRPr="00F97201">
        <w:rPr>
          <w:sz w:val="22"/>
          <w:szCs w:val="22"/>
          <w:lang w:val="es-CL"/>
        </w:rPr>
        <w:t>particular</w:t>
      </w:r>
      <w:r w:rsidRPr="00F97201">
        <w:rPr>
          <w:sz w:val="22"/>
          <w:szCs w:val="22"/>
          <w:lang w:val="es-CL"/>
        </w:rPr>
        <w:t xml:space="preserve"> de plaguicidas, el sector ya contaba con una Norma Oficial Mexicana que abordaba el etiquetado de plaguicidas</w:t>
      </w:r>
      <w:r w:rsidRPr="00F97201">
        <w:rPr>
          <w:rFonts w:cs="Arial"/>
          <w:bCs/>
          <w:sz w:val="22"/>
          <w:szCs w:val="22"/>
        </w:rPr>
        <w:t xml:space="preserve"> (NOM-045-SSA1-1993) y se contaba con un sistema internacional de clasificación al tener adoptadas las directrices de la FAO/OMS sobre el tema.</w:t>
      </w:r>
    </w:p>
    <w:p w:rsidR="00C264E4" w:rsidRDefault="00C264E4" w:rsidP="00606EAC">
      <w:pPr>
        <w:jc w:val="both"/>
        <w:rPr>
          <w:rFonts w:cs="Arial"/>
          <w:bCs/>
          <w:sz w:val="22"/>
          <w:szCs w:val="22"/>
        </w:rPr>
      </w:pPr>
      <w:r w:rsidRPr="00F97201">
        <w:rPr>
          <w:rFonts w:cs="Arial"/>
          <w:bCs/>
          <w:sz w:val="22"/>
          <w:szCs w:val="22"/>
        </w:rPr>
        <w:t>Por otra parte, el gobierno de México, bajo la finalidad del GHS de comunicar peligros, analizó los criterios del GHS (peligros físicos, a la salud y al medio ambiente) que se debían adoptar. En el caso de las hojas de seguridad, además de estar enfocadas a un grupo específico de trabajadores, industria y no al público general, ya tenían incluidos estos peligros en ellas, por lo que no requería de ma</w:t>
      </w:r>
      <w:r>
        <w:rPr>
          <w:rFonts w:cs="Arial"/>
          <w:bCs/>
          <w:sz w:val="22"/>
          <w:szCs w:val="22"/>
        </w:rPr>
        <w:t>yor trabajo. En etiquetas no ocurre lo mismo, pues en este caso sólo se incluían los efectos agudos del producto y no los crónicos. Finalmente se decidió comunicar sólo los peligros a la salud a través d</w:t>
      </w:r>
      <w:r w:rsidRPr="00532854">
        <w:rPr>
          <w:rFonts w:cs="Arial"/>
          <w:bCs/>
          <w:sz w:val="22"/>
          <w:szCs w:val="22"/>
        </w:rPr>
        <w:t>e las etiquetas y no los peligros al medio ambiente o físicos ya que estos últimos ya venían comunicados en el embalaje según las regulaciones internacionales de transporte.</w:t>
      </w:r>
    </w:p>
    <w:p w:rsidR="00C264E4" w:rsidRDefault="00C264E4" w:rsidP="00606EAC">
      <w:pPr>
        <w:jc w:val="both"/>
        <w:rPr>
          <w:rFonts w:cs="Arial"/>
          <w:bCs/>
          <w:sz w:val="22"/>
          <w:szCs w:val="22"/>
        </w:rPr>
      </w:pPr>
      <w:r>
        <w:rPr>
          <w:rFonts w:cs="Arial"/>
          <w:bCs/>
          <w:sz w:val="22"/>
          <w:szCs w:val="22"/>
        </w:rPr>
        <w:t xml:space="preserve">En este país, existe un Registro de Plaguicidas en el cual se pide informar los siguientes peligros a la salud: Toxicidad aguda y crónica. En el caso que exista alguna sustancia que sea clasificada como mutagénica, cancerígeno y teratogénico (efectos crónicos), ésta no se registra y por lo tanto no se consideró incluir </w:t>
      </w:r>
      <w:r w:rsidR="00890F84">
        <w:rPr>
          <w:rFonts w:cs="Arial"/>
          <w:bCs/>
          <w:sz w:val="22"/>
          <w:szCs w:val="22"/>
        </w:rPr>
        <w:t>e</w:t>
      </w:r>
      <w:r>
        <w:rPr>
          <w:rFonts w:cs="Arial"/>
          <w:bCs/>
          <w:sz w:val="22"/>
          <w:szCs w:val="22"/>
        </w:rPr>
        <w:t xml:space="preserve">stas clasificaciones del GHS pues estos productos tienen prohibido su uso en el mercado, en cambio, se decidió adoptar las clasificaciones de </w:t>
      </w:r>
      <w:r w:rsidRPr="00EF171B">
        <w:rPr>
          <w:rFonts w:cs="Arial"/>
          <w:bCs/>
          <w:sz w:val="22"/>
          <w:szCs w:val="22"/>
          <w:u w:val="single"/>
        </w:rPr>
        <w:t>Toxicidad aguda oral, Toxicidad agu</w:t>
      </w:r>
      <w:r>
        <w:rPr>
          <w:rFonts w:cs="Arial"/>
          <w:bCs/>
          <w:sz w:val="22"/>
          <w:szCs w:val="22"/>
          <w:u w:val="single"/>
        </w:rPr>
        <w:t>d</w:t>
      </w:r>
      <w:r w:rsidRPr="00EF171B">
        <w:rPr>
          <w:rFonts w:cs="Arial"/>
          <w:bCs/>
          <w:sz w:val="22"/>
          <w:szCs w:val="22"/>
          <w:u w:val="single"/>
        </w:rPr>
        <w:t>a dermal y Toxicidad aguda inhalatoria</w:t>
      </w:r>
      <w:r>
        <w:rPr>
          <w:rFonts w:cs="Arial"/>
          <w:bCs/>
          <w:sz w:val="22"/>
          <w:szCs w:val="22"/>
        </w:rPr>
        <w:t xml:space="preserve"> pues estas son las clases que cumplirían con los requisitos del GHS y con el etiquetado de plaguicidas según la OMS.</w:t>
      </w:r>
    </w:p>
    <w:p w:rsidR="00C264E4" w:rsidRDefault="00C264E4" w:rsidP="00606EAC">
      <w:pPr>
        <w:jc w:val="both"/>
        <w:rPr>
          <w:rFonts w:cs="Arial"/>
          <w:bCs/>
          <w:sz w:val="22"/>
          <w:szCs w:val="22"/>
        </w:rPr>
      </w:pPr>
      <w:r>
        <w:rPr>
          <w:rFonts w:cs="Arial"/>
          <w:bCs/>
          <w:sz w:val="22"/>
          <w:szCs w:val="22"/>
        </w:rPr>
        <w:t>Para el registro de plaguicidas, se consideran los conceptos de ingrediente activo (sustancia pura) y producto formulado (mezclas). En el caso del primero de ellos, para poder clasificar un plaguicida de acuerdo a una de las 3 clases de peligros del GHS adoptadas, México exige haber desarrollado estudios sobre las Toxicidades mencionadas en el ingrediente activo, información con la que ya se contaba pues es exigida para el Registro. En el caso de producto formulado</w:t>
      </w:r>
      <w:r w:rsidR="002459D8">
        <w:rPr>
          <w:rFonts w:cs="Arial"/>
          <w:bCs/>
          <w:sz w:val="22"/>
          <w:szCs w:val="22"/>
        </w:rPr>
        <w:t>,</w:t>
      </w:r>
      <w:r>
        <w:rPr>
          <w:rFonts w:cs="Arial"/>
          <w:bCs/>
          <w:sz w:val="22"/>
          <w:szCs w:val="22"/>
        </w:rPr>
        <w:t xml:space="preserve"> se acredita la clase de peligro de la formulación mediante la realización de estos estudios o mediante cálculos con fórmulas que se indican en el GHS (con datos de % de cada ingrediente activos y Dosis Letal (LD50) que se reporten en fuentes internacionales). Si no existen datos sobre LD50 de alguno de los componentes simplemente se elimina de la operación. Cabe destacar que en la etiqueta se indica la clasificación más peligrosa del producto entre las clases de toxicidad estudiadas.</w:t>
      </w:r>
    </w:p>
    <w:p w:rsidR="00C264E4" w:rsidRDefault="00C264E4" w:rsidP="00606EAC">
      <w:pPr>
        <w:jc w:val="both"/>
        <w:rPr>
          <w:rFonts w:cs="Arial"/>
          <w:bCs/>
          <w:sz w:val="22"/>
          <w:szCs w:val="22"/>
          <w:u w:val="single"/>
        </w:rPr>
      </w:pPr>
      <w:r>
        <w:rPr>
          <w:rFonts w:cs="Arial"/>
          <w:bCs/>
          <w:sz w:val="22"/>
          <w:szCs w:val="22"/>
        </w:rPr>
        <w:t xml:space="preserve">Ahora bien, en cuanto al análisis de lo que ha sido la implementación del etiquetado y clasificación del GHS en el sector plaguicidas, el proceso ha sido complicado, </w:t>
      </w:r>
      <w:r w:rsidRPr="0079446B">
        <w:rPr>
          <w:rFonts w:cs="Arial"/>
          <w:bCs/>
          <w:sz w:val="22"/>
          <w:szCs w:val="22"/>
          <w:u w:val="single"/>
        </w:rPr>
        <w:t xml:space="preserve">cambiar el etiquetado ha significado altos costos de implementación </w:t>
      </w:r>
      <w:r>
        <w:rPr>
          <w:rFonts w:cs="Arial"/>
          <w:bCs/>
          <w:sz w:val="22"/>
          <w:szCs w:val="22"/>
        </w:rPr>
        <w:t>y trae implicado un proceso de vigilancia por parte del gobierno mexicano. Actualmente, se tienen</w:t>
      </w:r>
      <w:r w:rsidR="002459D8">
        <w:rPr>
          <w:rFonts w:cs="Arial"/>
          <w:bCs/>
          <w:sz w:val="22"/>
          <w:szCs w:val="22"/>
        </w:rPr>
        <w:t xml:space="preserve"> registros de aproximadamente 5000-5</w:t>
      </w:r>
      <w:r>
        <w:rPr>
          <w:rFonts w:cs="Arial"/>
          <w:bCs/>
          <w:sz w:val="22"/>
          <w:szCs w:val="22"/>
        </w:rPr>
        <w:t>500 productos o plaguicidas de los cuales aproximadamente 200 cuentan con etiquetas GHS autorizadas ya que salieron al mercado posteriormente a la promulgación de la norma y para su registro fue mandatorio presentar etiqueta de acuerdo a GHS. En los restantes plaguicidas “antiguos”, el cambio de etiqueta no requirió de autorización previa, sin embargo, la consistencia entre lo informado en la etiqueta y los registros de plaguicidas es regulado a través de Normas Oficiales Mexicanas</w:t>
      </w:r>
      <w:r w:rsidR="002459D8">
        <w:rPr>
          <w:rFonts w:cs="Arial"/>
          <w:bCs/>
          <w:sz w:val="22"/>
          <w:szCs w:val="22"/>
        </w:rPr>
        <w:t>,</w:t>
      </w:r>
      <w:r>
        <w:rPr>
          <w:rFonts w:cs="Arial"/>
          <w:bCs/>
          <w:sz w:val="22"/>
          <w:szCs w:val="22"/>
        </w:rPr>
        <w:t xml:space="preserve"> y la autoridad puede fiscalizar esta consistencia sin necesidad de autorización especial. El problema radica en que </w:t>
      </w:r>
      <w:r w:rsidRPr="00213B69">
        <w:rPr>
          <w:rFonts w:cs="Arial"/>
          <w:bCs/>
          <w:sz w:val="22"/>
          <w:szCs w:val="22"/>
          <w:u w:val="single"/>
        </w:rPr>
        <w:t>ningún gobierno cuenta con la capacidad, personal ni infraestructura técnica para realizar las fisca</w:t>
      </w:r>
      <w:r>
        <w:rPr>
          <w:rFonts w:cs="Arial"/>
          <w:bCs/>
          <w:sz w:val="22"/>
          <w:szCs w:val="22"/>
          <w:u w:val="single"/>
        </w:rPr>
        <w:t>lizaciones y revisiones de</w:t>
      </w:r>
      <w:r w:rsidRPr="00213B69">
        <w:rPr>
          <w:rFonts w:cs="Arial"/>
          <w:bCs/>
          <w:sz w:val="22"/>
          <w:szCs w:val="22"/>
          <w:u w:val="single"/>
        </w:rPr>
        <w:t xml:space="preserve"> estas </w:t>
      </w:r>
      <w:r>
        <w:rPr>
          <w:rFonts w:cs="Arial"/>
          <w:bCs/>
          <w:sz w:val="22"/>
          <w:szCs w:val="22"/>
          <w:u w:val="single"/>
        </w:rPr>
        <w:t xml:space="preserve">5000 </w:t>
      </w:r>
      <w:r w:rsidRPr="00213B69">
        <w:rPr>
          <w:rFonts w:cs="Arial"/>
          <w:bCs/>
          <w:sz w:val="22"/>
          <w:szCs w:val="22"/>
          <w:u w:val="single"/>
        </w:rPr>
        <w:t>etiquetas</w:t>
      </w:r>
      <w:r>
        <w:rPr>
          <w:rFonts w:cs="Arial"/>
          <w:bCs/>
          <w:sz w:val="22"/>
          <w:szCs w:val="22"/>
          <w:u w:val="single"/>
        </w:rPr>
        <w:t xml:space="preserve"> de productos “antiguos”, revisar los estudios y cálculos realizados. Además esta revisión total de las etiquetas podría paralizar el comercio de plaguicidas en el país.</w:t>
      </w:r>
    </w:p>
    <w:p w:rsidR="00C264E4" w:rsidRDefault="00C264E4" w:rsidP="00606EAC">
      <w:pPr>
        <w:jc w:val="both"/>
        <w:rPr>
          <w:sz w:val="22"/>
          <w:szCs w:val="22"/>
        </w:rPr>
      </w:pPr>
      <w:r w:rsidRPr="00213B69">
        <w:rPr>
          <w:rFonts w:cs="Arial"/>
          <w:bCs/>
          <w:sz w:val="22"/>
          <w:szCs w:val="22"/>
        </w:rPr>
        <w:t>Otro problema detectado</w:t>
      </w:r>
      <w:r>
        <w:rPr>
          <w:rFonts w:cs="Arial"/>
          <w:bCs/>
          <w:sz w:val="22"/>
          <w:szCs w:val="22"/>
        </w:rPr>
        <w:t xml:space="preserve"> corresponde a casos en donde la categoría declarada (según GHS) no coincide con el registro (clasificación antigua). La actualización de estos registros puede tardar décadas considerando que el proceso de registro de una nueva sustancia tarda entre 2 y 3 años, además, existe una tasa/costo asociada a la modificación o creación de un registro, cuyo monto depende de la peligrosidad del producto, es decir, a mayor peligrosidad, mayor costo (por ejemplo, la modificación del registro de una sustancia de la categoría 1 puede </w:t>
      </w:r>
      <w:r w:rsidRPr="00E11976">
        <w:rPr>
          <w:rFonts w:cs="Arial"/>
          <w:bCs/>
          <w:sz w:val="22"/>
          <w:szCs w:val="22"/>
        </w:rPr>
        <w:t xml:space="preserve">costar </w:t>
      </w:r>
      <w:r w:rsidRPr="00E11976">
        <w:rPr>
          <w:sz w:val="22"/>
          <w:szCs w:val="22"/>
        </w:rPr>
        <w:t>€500</w:t>
      </w:r>
      <w:r>
        <w:rPr>
          <w:sz w:val="22"/>
          <w:szCs w:val="22"/>
        </w:rPr>
        <w:t>).</w:t>
      </w:r>
    </w:p>
    <w:p w:rsidR="00C264E4" w:rsidRDefault="00C264E4" w:rsidP="00606EAC">
      <w:pPr>
        <w:jc w:val="both"/>
        <w:rPr>
          <w:sz w:val="22"/>
          <w:szCs w:val="22"/>
        </w:rPr>
      </w:pPr>
      <w:r>
        <w:rPr>
          <w:sz w:val="22"/>
          <w:szCs w:val="22"/>
        </w:rPr>
        <w:t>Un inconveniente que surgió durante el proceso de implementación tuvo que ver con el período de</w:t>
      </w:r>
      <w:r w:rsidR="002459D8">
        <w:rPr>
          <w:sz w:val="22"/>
          <w:szCs w:val="22"/>
        </w:rPr>
        <w:t xml:space="preserve"> transición. Este fue de 2 años;</w:t>
      </w:r>
      <w:r>
        <w:rPr>
          <w:sz w:val="22"/>
          <w:szCs w:val="22"/>
        </w:rPr>
        <w:t xml:space="preserve"> si se considera que la cadena de comercialización es de aproximadamente 2 años igualmente (relacionada con la fecha de caducidad de los productos) hubo períodos donde el mismo producto podía estar en el mercado con 2 clasificaciones distintas lo cual provocó confusión en los consumidores finales (sobre si un producto era menos tóxico que otro simplemente por la diferencia en los valores de corte de cada sistema de clasificación).</w:t>
      </w:r>
    </w:p>
    <w:p w:rsidR="00C264E4" w:rsidRDefault="00C264E4" w:rsidP="00606EAC">
      <w:pPr>
        <w:jc w:val="both"/>
        <w:rPr>
          <w:rFonts w:cs="Arial"/>
          <w:bCs/>
          <w:sz w:val="22"/>
          <w:szCs w:val="22"/>
        </w:rPr>
      </w:pPr>
      <w:r>
        <w:rPr>
          <w:rFonts w:cs="Arial"/>
          <w:bCs/>
          <w:sz w:val="22"/>
          <w:szCs w:val="22"/>
        </w:rPr>
        <w:t>Volviendo al tema de las fiscalizaciones, en caso que la autoridad detecte incumplimiento en el etiquetado, se cursan multas que dependen del número de artículos de la norma que se incumplan, siendo además prohibido el movimiento del producto y/o la destrucción del mismo, clausura y retiro de la licencia de funcionamiento.</w:t>
      </w:r>
    </w:p>
    <w:p w:rsidR="00C264E4" w:rsidRDefault="00C264E4" w:rsidP="00606EAC">
      <w:pPr>
        <w:jc w:val="both"/>
        <w:rPr>
          <w:rFonts w:cs="Arial"/>
          <w:bCs/>
          <w:sz w:val="22"/>
          <w:szCs w:val="22"/>
        </w:rPr>
      </w:pPr>
      <w:r>
        <w:rPr>
          <w:rFonts w:cs="Arial"/>
          <w:bCs/>
          <w:sz w:val="22"/>
          <w:szCs w:val="22"/>
        </w:rPr>
        <w:t>Con respecto a considerar los peligros al ambiente, la clasificación de estos peligros es complicada para ingrediente activo y aún más para productos formulados pues no se hacen estudios en estos últimos, por lo que se decidió no incluir la clasificación GHS sobre peligros al medio ambiente.</w:t>
      </w:r>
    </w:p>
    <w:p w:rsidR="00C264E4" w:rsidRDefault="00C264E4" w:rsidP="00606EAC">
      <w:pPr>
        <w:jc w:val="both"/>
        <w:rPr>
          <w:sz w:val="16"/>
          <w:szCs w:val="16"/>
        </w:rPr>
      </w:pPr>
      <w:r>
        <w:rPr>
          <w:rFonts w:cs="Arial"/>
          <w:bCs/>
          <w:sz w:val="22"/>
          <w:szCs w:val="22"/>
        </w:rPr>
        <w:t>Como conclusión de la experta contactada, la adopción del sistema GHS no ha aportado grandes cambios en lo que respecta a la seguridad de las personas y el medio ambiente, que es uno de los objetivos de este sistema, además, los costos en que han debido incurrir las empresas de plaguicidas para la nueva clasificación y etiquetado de sus productos finalmente han sido asumidos por el consumidor. Existe un alto costo involucrado en temas de capacitación y difusión del nuevo sistema, sin embargo, el nivel de peligrosidad de los productos sigue siendo el mismo, simplemente se cambió la forma en que se entrega la información, es decir, el antiguo sistema también cumplía con la finalidad de comunicar los peligros de los plaguicidas.</w:t>
      </w:r>
    </w:p>
    <w:p w:rsidR="00C264E4" w:rsidRDefault="00C264E4" w:rsidP="00606EAC">
      <w:pPr>
        <w:jc w:val="both"/>
        <w:rPr>
          <w:sz w:val="22"/>
          <w:szCs w:val="22"/>
        </w:rPr>
      </w:pPr>
      <w:r w:rsidRPr="006104E7">
        <w:rPr>
          <w:sz w:val="22"/>
          <w:szCs w:val="22"/>
        </w:rPr>
        <w:t>Finalmente</w:t>
      </w:r>
      <w:r>
        <w:rPr>
          <w:sz w:val="22"/>
          <w:szCs w:val="22"/>
        </w:rPr>
        <w:t>, es importante mencionar que la legislación internacional es mucho más dinámica que la nacional, por ejemplo, el sistema GHS ha realizado varias actualizaciones en los últimos años y México adoptó la clasificación del año 2005, la que tardó 2 años en implementar, por lo que siempre existirá un desfase entre ambas legislaciones.</w:t>
      </w:r>
    </w:p>
    <w:p w:rsidR="00B54810" w:rsidRDefault="00B54810" w:rsidP="00424527">
      <w:pPr>
        <w:pStyle w:val="Heading3"/>
        <w:ind w:left="709"/>
      </w:pPr>
      <w:bookmarkStart w:id="59" w:name="_Toc388552083"/>
      <w:bookmarkStart w:id="60" w:name="_Toc418168874"/>
      <w:r>
        <w:t xml:space="preserve">Unión </w:t>
      </w:r>
      <w:r w:rsidRPr="00B54810">
        <w:t>Europea</w:t>
      </w:r>
      <w:bookmarkEnd w:id="59"/>
      <w:bookmarkEnd w:id="60"/>
    </w:p>
    <w:p w:rsidR="00B54810" w:rsidRDefault="00B54810" w:rsidP="00424527">
      <w:pPr>
        <w:spacing w:line="240" w:lineRule="auto"/>
        <w:jc w:val="both"/>
        <w:rPr>
          <w:sz w:val="22"/>
          <w:szCs w:val="22"/>
        </w:rPr>
      </w:pPr>
      <w:r w:rsidRPr="000035E8">
        <w:rPr>
          <w:sz w:val="22"/>
          <w:szCs w:val="22"/>
        </w:rPr>
        <w:t>Esta comunidad política incluye 27 países del continente europeo y como organismo internacional es uno de los principales actores de los mecanismos de cooperación entre países para la implementación del GHS a nivel mundial. Por esta razón, los aspectos técnicos y jurídicos de su estrategia de implementación</w:t>
      </w:r>
      <w:r w:rsidR="00890F84" w:rsidRPr="000035E8">
        <w:rPr>
          <w:sz w:val="22"/>
          <w:szCs w:val="22"/>
        </w:rPr>
        <w:t>,</w:t>
      </w:r>
      <w:r w:rsidRPr="000035E8">
        <w:rPr>
          <w:sz w:val="22"/>
          <w:szCs w:val="22"/>
        </w:rPr>
        <w:t xml:space="preserve"> </w:t>
      </w:r>
      <w:r w:rsidR="00890F84" w:rsidRPr="000035E8">
        <w:rPr>
          <w:sz w:val="22"/>
          <w:szCs w:val="22"/>
        </w:rPr>
        <w:t xml:space="preserve">que se presentan resumidamente en la siguiente tabla y detalladamente más adelante, </w:t>
      </w:r>
      <w:r w:rsidRPr="000035E8">
        <w:rPr>
          <w:sz w:val="22"/>
          <w:szCs w:val="22"/>
        </w:rPr>
        <w:t>representan un importante referente para el resto de los países.</w:t>
      </w:r>
    </w:p>
    <w:p w:rsidR="006D0FB7" w:rsidRPr="000035E8" w:rsidRDefault="006D0FB7" w:rsidP="00424527">
      <w:pPr>
        <w:spacing w:line="240" w:lineRule="auto"/>
        <w:jc w:val="both"/>
        <w:rPr>
          <w:sz w:val="22"/>
          <w:szCs w:val="22"/>
        </w:rPr>
      </w:pPr>
    </w:p>
    <w:p w:rsidR="00B54810" w:rsidRPr="002D4486" w:rsidRDefault="00890F84" w:rsidP="00424527">
      <w:pPr>
        <w:pStyle w:val="Heading4"/>
        <w:spacing w:before="0" w:after="180"/>
        <w:ind w:left="851" w:hanging="862"/>
        <w:jc w:val="both"/>
        <w:rPr>
          <w:b/>
          <w:i/>
          <w:caps w:val="0"/>
        </w:rPr>
      </w:pPr>
      <w:bookmarkStart w:id="61" w:name="_Toc388552084"/>
      <w:r w:rsidRPr="002D4486">
        <w:rPr>
          <w:b/>
          <w:i/>
        </w:rPr>
        <w:t xml:space="preserve"> </w:t>
      </w:r>
      <w:bookmarkStart w:id="62" w:name="_Toc418168875"/>
      <w:r w:rsidR="00B54810" w:rsidRPr="002D4486">
        <w:rPr>
          <w:b/>
          <w:i/>
          <w:caps w:val="0"/>
        </w:rPr>
        <w:t xml:space="preserve">Unión </w:t>
      </w:r>
      <w:r w:rsidR="00AB22A8" w:rsidRPr="002D4486">
        <w:rPr>
          <w:b/>
          <w:i/>
          <w:caps w:val="0"/>
        </w:rPr>
        <w:t>E</w:t>
      </w:r>
      <w:r w:rsidR="00B54810" w:rsidRPr="002D4486">
        <w:rPr>
          <w:b/>
          <w:i/>
          <w:caps w:val="0"/>
        </w:rPr>
        <w:t>uropea</w:t>
      </w:r>
      <w:bookmarkEnd w:id="61"/>
      <w:bookmarkEnd w:id="62"/>
    </w:p>
    <w:tbl>
      <w:tblPr>
        <w:tblStyle w:val="Listaclara-nfasis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7480"/>
      </w:tblGrid>
      <w:tr w:rsidR="00B54810" w:rsidRPr="007B75F0" w:rsidTr="00B548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7" w:type="pct"/>
          </w:tcPr>
          <w:p w:rsidR="00B54810" w:rsidRPr="007B75F0" w:rsidRDefault="00B54810" w:rsidP="00606EAC">
            <w:pPr>
              <w:spacing w:after="0" w:line="240" w:lineRule="auto"/>
              <w:ind w:right="368"/>
              <w:rPr>
                <w:rFonts w:asciiTheme="minorHAnsi" w:hAnsiTheme="minorHAnsi"/>
              </w:rPr>
            </w:pPr>
            <w:r w:rsidRPr="007B75F0">
              <w:rPr>
                <w:rFonts w:asciiTheme="minorHAnsi" w:hAnsiTheme="minorHAnsi"/>
              </w:rPr>
              <w:t>Encargado</w:t>
            </w:r>
          </w:p>
        </w:tc>
        <w:tc>
          <w:tcPr>
            <w:tcW w:w="3773" w:type="pct"/>
          </w:tcPr>
          <w:p w:rsidR="00B54810" w:rsidRPr="007B75F0" w:rsidRDefault="00B54810" w:rsidP="00606EAC">
            <w:pPr>
              <w:spacing w:after="0" w:line="240" w:lineRule="auto"/>
              <w:ind w:right="368"/>
              <w:cnfStyle w:val="100000000000" w:firstRow="1" w:lastRow="0" w:firstColumn="0" w:lastColumn="0" w:oddVBand="0" w:evenVBand="0" w:oddHBand="0" w:evenHBand="0" w:firstRowFirstColumn="0" w:firstRowLastColumn="0" w:lastRowFirstColumn="0" w:lastRowLastColumn="0"/>
              <w:rPr>
                <w:rFonts w:asciiTheme="minorHAnsi" w:hAnsiTheme="minorHAnsi"/>
              </w:rPr>
            </w:pPr>
            <w:r w:rsidRPr="007B75F0">
              <w:rPr>
                <w:rFonts w:asciiTheme="minorHAnsi" w:hAnsiTheme="minorHAnsi"/>
              </w:rPr>
              <w:t>Comisión Europea</w:t>
            </w:r>
          </w:p>
        </w:tc>
      </w:tr>
      <w:tr w:rsidR="00B54810" w:rsidRPr="007B75F0" w:rsidTr="00B548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7" w:type="pct"/>
            <w:tcBorders>
              <w:top w:val="none" w:sz="0" w:space="0" w:color="auto"/>
              <w:left w:val="none" w:sz="0" w:space="0" w:color="auto"/>
              <w:bottom w:val="none" w:sz="0" w:space="0" w:color="auto"/>
            </w:tcBorders>
          </w:tcPr>
          <w:p w:rsidR="00B54810" w:rsidRPr="007B75F0" w:rsidRDefault="00B54810" w:rsidP="00606EAC">
            <w:pPr>
              <w:spacing w:after="0" w:line="240" w:lineRule="auto"/>
              <w:ind w:right="368"/>
              <w:rPr>
                <w:rFonts w:asciiTheme="minorHAnsi" w:hAnsiTheme="minorHAnsi"/>
              </w:rPr>
            </w:pPr>
            <w:r w:rsidRPr="007B75F0">
              <w:rPr>
                <w:rFonts w:asciiTheme="minorHAnsi" w:hAnsiTheme="minorHAnsi"/>
              </w:rPr>
              <w:t xml:space="preserve">Principales participantes </w:t>
            </w:r>
          </w:p>
        </w:tc>
        <w:tc>
          <w:tcPr>
            <w:tcW w:w="3773" w:type="pct"/>
            <w:tcBorders>
              <w:top w:val="none" w:sz="0" w:space="0" w:color="auto"/>
              <w:bottom w:val="none" w:sz="0" w:space="0" w:color="auto"/>
              <w:right w:val="none" w:sz="0" w:space="0" w:color="auto"/>
            </w:tcBorders>
          </w:tcPr>
          <w:p w:rsidR="00B54810" w:rsidRPr="007B75F0" w:rsidRDefault="00B54810" w:rsidP="00606EAC">
            <w:pPr>
              <w:spacing w:after="0" w:line="240" w:lineRule="auto"/>
              <w:ind w:right="33"/>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kern w:val="24"/>
              </w:rPr>
            </w:pPr>
            <w:r w:rsidRPr="007B75F0">
              <w:rPr>
                <w:rFonts w:asciiTheme="minorHAnsi" w:eastAsiaTheme="minorHAnsi" w:hAnsiTheme="minorHAnsi"/>
                <w:kern w:val="24"/>
              </w:rPr>
              <w:t xml:space="preserve">ECHA (Asociación Europea de Sustancias y Mezclas Químicas), </w:t>
            </w:r>
            <w:r>
              <w:rPr>
                <w:rFonts w:asciiTheme="minorHAnsi" w:eastAsiaTheme="minorHAnsi" w:hAnsiTheme="minorHAnsi"/>
                <w:kern w:val="24"/>
              </w:rPr>
              <w:t>Directorate General</w:t>
            </w:r>
            <w:r w:rsidRPr="007B75F0">
              <w:rPr>
                <w:rFonts w:asciiTheme="minorHAnsi" w:eastAsiaTheme="minorHAnsi" w:hAnsiTheme="minorHAnsi"/>
                <w:kern w:val="24"/>
              </w:rPr>
              <w:t xml:space="preserve"> </w:t>
            </w:r>
            <w:r>
              <w:rPr>
                <w:rFonts w:asciiTheme="minorHAnsi" w:eastAsiaTheme="minorHAnsi" w:hAnsiTheme="minorHAnsi"/>
                <w:kern w:val="24"/>
              </w:rPr>
              <w:t xml:space="preserve">for </w:t>
            </w:r>
            <w:r w:rsidRPr="007B75F0">
              <w:rPr>
                <w:rFonts w:asciiTheme="minorHAnsi" w:eastAsiaTheme="minorHAnsi" w:hAnsiTheme="minorHAnsi"/>
                <w:kern w:val="24"/>
              </w:rPr>
              <w:t>Env</w:t>
            </w:r>
            <w:r>
              <w:rPr>
                <w:rFonts w:asciiTheme="minorHAnsi" w:eastAsiaTheme="minorHAnsi" w:hAnsiTheme="minorHAnsi"/>
                <w:kern w:val="24"/>
              </w:rPr>
              <w:t xml:space="preserve">ironment, Directorate </w:t>
            </w:r>
            <w:r w:rsidRPr="007B75F0">
              <w:rPr>
                <w:rFonts w:asciiTheme="minorHAnsi" w:eastAsiaTheme="minorHAnsi" w:hAnsiTheme="minorHAnsi"/>
                <w:kern w:val="24"/>
              </w:rPr>
              <w:t>General for Health and Consumers.</w:t>
            </w:r>
          </w:p>
        </w:tc>
      </w:tr>
      <w:tr w:rsidR="00B54810" w:rsidRPr="007B75F0" w:rsidTr="00B54810">
        <w:tc>
          <w:tcPr>
            <w:cnfStyle w:val="001000000000" w:firstRow="0" w:lastRow="0" w:firstColumn="1" w:lastColumn="0" w:oddVBand="0" w:evenVBand="0" w:oddHBand="0" w:evenHBand="0" w:firstRowFirstColumn="0" w:firstRowLastColumn="0" w:lastRowFirstColumn="0" w:lastRowLastColumn="0"/>
            <w:tcW w:w="1227" w:type="pct"/>
          </w:tcPr>
          <w:p w:rsidR="00B54810" w:rsidRPr="007B75F0" w:rsidRDefault="00B54810" w:rsidP="00606EAC">
            <w:pPr>
              <w:spacing w:after="0" w:line="240" w:lineRule="auto"/>
              <w:ind w:right="368"/>
              <w:rPr>
                <w:rFonts w:asciiTheme="minorHAnsi" w:hAnsiTheme="minorHAnsi"/>
              </w:rPr>
            </w:pPr>
            <w:r w:rsidRPr="007B75F0">
              <w:rPr>
                <w:rFonts w:asciiTheme="minorHAnsi" w:hAnsiTheme="minorHAnsi"/>
              </w:rPr>
              <w:t>Antecedentes</w:t>
            </w:r>
          </w:p>
        </w:tc>
        <w:tc>
          <w:tcPr>
            <w:tcW w:w="3773" w:type="pct"/>
          </w:tcPr>
          <w:p w:rsidR="00B54810" w:rsidRPr="000035E8" w:rsidRDefault="00B54810" w:rsidP="00D4302C">
            <w:pPr>
              <w:pStyle w:val="ListParagraph"/>
              <w:numPr>
                <w:ilvl w:val="0"/>
                <w:numId w:val="77"/>
              </w:numPr>
              <w:spacing w:after="0" w:line="240" w:lineRule="auto"/>
              <w:ind w:right="33"/>
              <w:cnfStyle w:val="000000000000" w:firstRow="0" w:lastRow="0" w:firstColumn="0" w:lastColumn="0" w:oddVBand="0" w:evenVBand="0" w:oddHBand="0" w:evenHBand="0" w:firstRowFirstColumn="0" w:firstRowLastColumn="0" w:lastRowFirstColumn="0" w:lastRowLastColumn="0"/>
              <w:rPr>
                <w:rFonts w:asciiTheme="minorHAnsi" w:hAnsiTheme="minorHAnsi"/>
                <w:kern w:val="24"/>
              </w:rPr>
            </w:pPr>
            <w:r w:rsidRPr="000035E8">
              <w:rPr>
                <w:rFonts w:asciiTheme="minorHAnsi" w:hAnsiTheme="minorHAnsi"/>
                <w:kern w:val="24"/>
              </w:rPr>
              <w:t>El Reglamento REACH, que regula la producción y uso de sustancias químicas en la Unión Europea (UE), entró en vigencia en junio del 2007, sin embargo, no incluyó nuevas normas de clasificación y etiquetado de sustancias peligrosas porque la UE esperaba asumir el GHS, por lo que se mantendría vigente la Directiva 67/548/CEE sobre este tema.</w:t>
            </w:r>
          </w:p>
          <w:p w:rsidR="00B54810" w:rsidRPr="000035E8" w:rsidRDefault="00B54810" w:rsidP="00D4302C">
            <w:pPr>
              <w:pStyle w:val="ListParagraph"/>
              <w:numPr>
                <w:ilvl w:val="0"/>
                <w:numId w:val="77"/>
              </w:numPr>
              <w:spacing w:after="0" w:line="240" w:lineRule="auto"/>
              <w:ind w:right="33"/>
              <w:cnfStyle w:val="000000000000" w:firstRow="0" w:lastRow="0" w:firstColumn="0" w:lastColumn="0" w:oddVBand="0" w:evenVBand="0" w:oddHBand="0" w:evenHBand="0" w:firstRowFirstColumn="0" w:firstRowLastColumn="0" w:lastRowFirstColumn="0" w:lastRowLastColumn="0"/>
              <w:rPr>
                <w:rFonts w:asciiTheme="minorHAnsi" w:hAnsiTheme="minorHAnsi"/>
                <w:kern w:val="24"/>
              </w:rPr>
            </w:pPr>
            <w:r w:rsidRPr="000035E8">
              <w:rPr>
                <w:rFonts w:asciiTheme="minorHAnsi" w:hAnsiTheme="minorHAnsi"/>
                <w:kern w:val="24"/>
              </w:rPr>
              <w:t>Realización de estudio de Análisis de situación y vacíos completada en el año 2004.</w:t>
            </w:r>
          </w:p>
          <w:p w:rsidR="00B54810" w:rsidRPr="000035E8" w:rsidRDefault="00B54810" w:rsidP="00D4302C">
            <w:pPr>
              <w:pStyle w:val="ListParagraph"/>
              <w:numPr>
                <w:ilvl w:val="0"/>
                <w:numId w:val="77"/>
              </w:numPr>
              <w:spacing w:after="0" w:line="240" w:lineRule="auto"/>
              <w:ind w:right="33"/>
              <w:cnfStyle w:val="000000000000" w:firstRow="0" w:lastRow="0" w:firstColumn="0" w:lastColumn="0" w:oddVBand="0" w:evenVBand="0" w:oddHBand="0" w:evenHBand="0" w:firstRowFirstColumn="0" w:firstRowLastColumn="0" w:lastRowFirstColumn="0" w:lastRowLastColumn="0"/>
              <w:rPr>
                <w:kern w:val="24"/>
              </w:rPr>
            </w:pPr>
            <w:r w:rsidRPr="000035E8">
              <w:rPr>
                <w:rFonts w:asciiTheme="minorHAnsi" w:hAnsiTheme="minorHAnsi"/>
                <w:kern w:val="24"/>
              </w:rPr>
              <w:t>Reuniones con representantes de Estados involucrados. Recopilación de información mediante consulta pública a sectores involucrados.</w:t>
            </w:r>
          </w:p>
        </w:tc>
      </w:tr>
      <w:tr w:rsidR="00B54810" w:rsidRPr="007B75F0" w:rsidTr="00B548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7" w:type="pct"/>
            <w:tcBorders>
              <w:top w:val="none" w:sz="0" w:space="0" w:color="auto"/>
              <w:left w:val="none" w:sz="0" w:space="0" w:color="auto"/>
              <w:bottom w:val="none" w:sz="0" w:space="0" w:color="auto"/>
            </w:tcBorders>
          </w:tcPr>
          <w:p w:rsidR="00B54810" w:rsidRPr="007B75F0" w:rsidRDefault="00B54810" w:rsidP="00606EAC">
            <w:pPr>
              <w:spacing w:after="0" w:line="240" w:lineRule="auto"/>
              <w:ind w:right="368"/>
              <w:jc w:val="left"/>
              <w:rPr>
                <w:rFonts w:asciiTheme="minorHAnsi" w:hAnsiTheme="minorHAnsi"/>
              </w:rPr>
            </w:pPr>
            <w:r w:rsidRPr="007B75F0">
              <w:rPr>
                <w:rFonts w:asciiTheme="minorHAnsi" w:hAnsiTheme="minorHAnsi"/>
              </w:rPr>
              <w:t>Estrategia de implementación</w:t>
            </w:r>
          </w:p>
        </w:tc>
        <w:tc>
          <w:tcPr>
            <w:tcW w:w="3773" w:type="pct"/>
            <w:tcBorders>
              <w:top w:val="none" w:sz="0" w:space="0" w:color="auto"/>
              <w:bottom w:val="none" w:sz="0" w:space="0" w:color="auto"/>
              <w:right w:val="none" w:sz="0" w:space="0" w:color="auto"/>
            </w:tcBorders>
          </w:tcPr>
          <w:p w:rsidR="00B54810" w:rsidRPr="000035E8" w:rsidRDefault="00B54810" w:rsidP="00D4302C">
            <w:pPr>
              <w:pStyle w:val="ListParagraph"/>
              <w:numPr>
                <w:ilvl w:val="0"/>
                <w:numId w:val="78"/>
              </w:numPr>
              <w:spacing w:after="0" w:line="240" w:lineRule="auto"/>
              <w:ind w:right="33"/>
              <w:cnfStyle w:val="000000100000" w:firstRow="0" w:lastRow="0" w:firstColumn="0" w:lastColumn="0" w:oddVBand="0" w:evenVBand="0" w:oddHBand="1" w:evenHBand="0" w:firstRowFirstColumn="0" w:firstRowLastColumn="0" w:lastRowFirstColumn="0" w:lastRowLastColumn="0"/>
              <w:rPr>
                <w:rFonts w:asciiTheme="minorHAnsi" w:hAnsiTheme="minorHAnsi"/>
                <w:kern w:val="24"/>
              </w:rPr>
            </w:pPr>
            <w:r w:rsidRPr="000035E8">
              <w:rPr>
                <w:rFonts w:asciiTheme="minorHAnsi" w:hAnsiTheme="minorHAnsi"/>
                <w:kern w:val="24"/>
              </w:rPr>
              <w:t>El sistema GHS será implementado en los 4 sectores (Industria, Transporte, Consumidores y Agricultura).</w:t>
            </w:r>
          </w:p>
          <w:p w:rsidR="00B54810" w:rsidRPr="000035E8" w:rsidRDefault="00B54810" w:rsidP="00D4302C">
            <w:pPr>
              <w:pStyle w:val="ListParagraph"/>
              <w:numPr>
                <w:ilvl w:val="0"/>
                <w:numId w:val="78"/>
              </w:numPr>
              <w:spacing w:after="0" w:line="240" w:lineRule="auto"/>
              <w:ind w:right="33"/>
              <w:cnfStyle w:val="000000100000" w:firstRow="0" w:lastRow="0" w:firstColumn="0" w:lastColumn="0" w:oddVBand="0" w:evenVBand="0" w:oddHBand="1" w:evenHBand="0" w:firstRowFirstColumn="0" w:firstRowLastColumn="0" w:lastRowFirstColumn="0" w:lastRowLastColumn="0"/>
              <w:rPr>
                <w:rFonts w:asciiTheme="minorHAnsi" w:hAnsiTheme="minorHAnsi"/>
                <w:kern w:val="24"/>
              </w:rPr>
            </w:pPr>
            <w:r w:rsidRPr="000035E8">
              <w:rPr>
                <w:rFonts w:asciiTheme="minorHAnsi" w:hAnsiTheme="minorHAnsi"/>
                <w:kern w:val="24"/>
              </w:rPr>
              <w:t>La Comisión Europea adoptó una Propuesta para establecer como instrumento de implementación una regulación que alineara el sistema vigente con el GHS en los distintos sectores:</w:t>
            </w:r>
          </w:p>
          <w:p w:rsidR="00B54810" w:rsidRPr="000035E8" w:rsidRDefault="00B54810" w:rsidP="00D4302C">
            <w:pPr>
              <w:pStyle w:val="ListParagraph"/>
              <w:numPr>
                <w:ilvl w:val="0"/>
                <w:numId w:val="78"/>
              </w:numPr>
              <w:spacing w:after="0" w:line="240" w:lineRule="auto"/>
              <w:ind w:right="33"/>
              <w:cnfStyle w:val="000000100000" w:firstRow="0" w:lastRow="0" w:firstColumn="0" w:lastColumn="0" w:oddVBand="0" w:evenVBand="0" w:oddHBand="1" w:evenHBand="0" w:firstRowFirstColumn="0" w:firstRowLastColumn="0" w:lastRowFirstColumn="0" w:lastRowLastColumn="0"/>
              <w:rPr>
                <w:rFonts w:asciiTheme="minorHAnsi" w:hAnsiTheme="minorHAnsi"/>
                <w:kern w:val="24"/>
              </w:rPr>
            </w:pPr>
            <w:r w:rsidRPr="000035E8">
              <w:rPr>
                <w:rFonts w:asciiTheme="minorHAnsi" w:hAnsiTheme="minorHAnsi"/>
                <w:kern w:val="24"/>
              </w:rPr>
              <w:t>Transporte: Dirección General Energía y Transporte.</w:t>
            </w:r>
          </w:p>
          <w:p w:rsidR="00B54810" w:rsidRPr="000035E8" w:rsidRDefault="00B54810" w:rsidP="00D4302C">
            <w:pPr>
              <w:pStyle w:val="ListParagraph"/>
              <w:numPr>
                <w:ilvl w:val="0"/>
                <w:numId w:val="78"/>
              </w:numPr>
              <w:spacing w:after="0" w:line="240" w:lineRule="auto"/>
              <w:ind w:right="33"/>
              <w:cnfStyle w:val="000000100000" w:firstRow="0" w:lastRow="0" w:firstColumn="0" w:lastColumn="0" w:oddVBand="0" w:evenVBand="0" w:oddHBand="1" w:evenHBand="0" w:firstRowFirstColumn="0" w:firstRowLastColumn="0" w:lastRowFirstColumn="0" w:lastRowLastColumn="0"/>
              <w:rPr>
                <w:rFonts w:asciiTheme="minorHAnsi" w:hAnsiTheme="minorHAnsi"/>
                <w:kern w:val="24"/>
              </w:rPr>
            </w:pPr>
            <w:r w:rsidRPr="000035E8">
              <w:rPr>
                <w:rFonts w:asciiTheme="minorHAnsi" w:hAnsiTheme="minorHAnsi"/>
                <w:kern w:val="24"/>
              </w:rPr>
              <w:t>Industria, Agricultura y Consumidores: Dirección General Empresa e Industria.</w:t>
            </w:r>
          </w:p>
          <w:p w:rsidR="00B54810" w:rsidRDefault="00B54810" w:rsidP="00606EAC">
            <w:pPr>
              <w:spacing w:after="0" w:line="240" w:lineRule="auto"/>
              <w:ind w:right="33"/>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kern w:val="24"/>
              </w:rPr>
            </w:pPr>
          </w:p>
          <w:p w:rsidR="00B54810" w:rsidRPr="006B28A8" w:rsidRDefault="00B54810" w:rsidP="00606EAC">
            <w:pPr>
              <w:spacing w:after="0" w:line="240" w:lineRule="auto"/>
              <w:ind w:right="33"/>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kern w:val="24"/>
                <w:u w:val="single"/>
              </w:rPr>
            </w:pPr>
            <w:r w:rsidRPr="006B28A8">
              <w:rPr>
                <w:rFonts w:asciiTheme="minorHAnsi" w:eastAsiaTheme="minorHAnsi" w:hAnsiTheme="minorHAnsi"/>
                <w:kern w:val="24"/>
                <w:u w:val="single"/>
              </w:rPr>
              <w:t>Sector Transporte:</w:t>
            </w:r>
          </w:p>
          <w:p w:rsidR="00B54810" w:rsidRPr="000035E8" w:rsidRDefault="00B54810" w:rsidP="00D4302C">
            <w:pPr>
              <w:pStyle w:val="ListParagraph"/>
              <w:numPr>
                <w:ilvl w:val="0"/>
                <w:numId w:val="79"/>
              </w:numPr>
              <w:spacing w:after="0" w:line="240" w:lineRule="auto"/>
              <w:ind w:right="33"/>
              <w:cnfStyle w:val="000000100000" w:firstRow="0" w:lastRow="0" w:firstColumn="0" w:lastColumn="0" w:oddVBand="0" w:evenVBand="0" w:oddHBand="1" w:evenHBand="0" w:firstRowFirstColumn="0" w:firstRowLastColumn="0" w:lastRowFirstColumn="0" w:lastRowLastColumn="0"/>
              <w:rPr>
                <w:rFonts w:asciiTheme="minorHAnsi" w:hAnsiTheme="minorHAnsi"/>
                <w:kern w:val="24"/>
              </w:rPr>
            </w:pPr>
            <w:r w:rsidRPr="000035E8">
              <w:rPr>
                <w:rFonts w:asciiTheme="minorHAnsi" w:hAnsiTheme="minorHAnsi"/>
                <w:kern w:val="24"/>
              </w:rPr>
              <w:t>Se creó la Directiva 2008/68/EC que hace referencia a los elementos legales del Reglamento Modelo de las Naciones Unidas para el transporte de productos peligrosos.</w:t>
            </w:r>
          </w:p>
          <w:p w:rsidR="00B54810" w:rsidRPr="007B75F0" w:rsidRDefault="00B54810" w:rsidP="00606EAC">
            <w:pPr>
              <w:pStyle w:val="ListParagraph"/>
              <w:spacing w:after="0" w:line="240" w:lineRule="auto"/>
              <w:ind w:left="0" w:right="33"/>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kern w:val="24"/>
              </w:rPr>
            </w:pPr>
          </w:p>
          <w:p w:rsidR="00B54810" w:rsidRPr="006B28A8" w:rsidRDefault="00B54810" w:rsidP="00606EAC">
            <w:pPr>
              <w:spacing w:after="0" w:line="240" w:lineRule="auto"/>
              <w:ind w:right="33"/>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kern w:val="24"/>
                <w:u w:val="single"/>
              </w:rPr>
            </w:pPr>
            <w:r w:rsidRPr="006B28A8">
              <w:rPr>
                <w:rFonts w:asciiTheme="minorHAnsi" w:eastAsiaTheme="minorHAnsi" w:hAnsiTheme="minorHAnsi"/>
                <w:kern w:val="24"/>
                <w:u w:val="single"/>
              </w:rPr>
              <w:t>Sector Industria y Consumo</w:t>
            </w:r>
            <w:r>
              <w:rPr>
                <w:rFonts w:asciiTheme="minorHAnsi" w:eastAsiaTheme="minorHAnsi" w:hAnsiTheme="minorHAnsi"/>
                <w:kern w:val="24"/>
                <w:u w:val="single"/>
              </w:rPr>
              <w:t>:</w:t>
            </w:r>
          </w:p>
          <w:p w:rsidR="00B54810" w:rsidRPr="000035E8" w:rsidRDefault="00B54810" w:rsidP="00D4302C">
            <w:pPr>
              <w:pStyle w:val="ListParagraph"/>
              <w:numPr>
                <w:ilvl w:val="0"/>
                <w:numId w:val="79"/>
              </w:numPr>
              <w:spacing w:after="0" w:line="240" w:lineRule="auto"/>
              <w:ind w:right="33"/>
              <w:cnfStyle w:val="000000100000" w:firstRow="0" w:lastRow="0" w:firstColumn="0" w:lastColumn="0" w:oddVBand="0" w:evenVBand="0" w:oddHBand="1" w:evenHBand="0" w:firstRowFirstColumn="0" w:firstRowLastColumn="0" w:lastRowFirstColumn="0" w:lastRowLastColumn="0"/>
              <w:rPr>
                <w:rFonts w:asciiTheme="minorHAnsi" w:hAnsiTheme="minorHAnsi"/>
                <w:kern w:val="24"/>
              </w:rPr>
            </w:pPr>
            <w:r w:rsidRPr="000035E8">
              <w:rPr>
                <w:rFonts w:asciiTheme="minorHAnsi" w:hAnsiTheme="minorHAnsi"/>
                <w:kern w:val="24"/>
              </w:rPr>
              <w:t>Se creó la Regulación EC N°1272/2008 (CLP) que sustituirá a las directivas anteriores sobre clasificación y etiquetado y que pasa a ser parte del Reglamento REACH.</w:t>
            </w:r>
          </w:p>
          <w:p w:rsidR="00B54810" w:rsidRPr="000035E8" w:rsidRDefault="00B54810" w:rsidP="00D4302C">
            <w:pPr>
              <w:pStyle w:val="ListParagraph"/>
              <w:numPr>
                <w:ilvl w:val="0"/>
                <w:numId w:val="79"/>
              </w:numPr>
              <w:spacing w:after="0" w:line="240" w:lineRule="auto"/>
              <w:ind w:right="33"/>
              <w:cnfStyle w:val="000000100000" w:firstRow="0" w:lastRow="0" w:firstColumn="0" w:lastColumn="0" w:oddVBand="0" w:evenVBand="0" w:oddHBand="1" w:evenHBand="0" w:firstRowFirstColumn="0" w:firstRowLastColumn="0" w:lastRowFirstColumn="0" w:lastRowLastColumn="0"/>
              <w:rPr>
                <w:rFonts w:asciiTheme="minorHAnsi" w:hAnsiTheme="minorHAnsi"/>
                <w:kern w:val="24"/>
              </w:rPr>
            </w:pPr>
            <w:r w:rsidRPr="000035E8">
              <w:rPr>
                <w:rFonts w:asciiTheme="minorHAnsi" w:hAnsiTheme="minorHAnsi"/>
                <w:kern w:val="24"/>
              </w:rPr>
              <w:t>Se incluyeron todas las clases de peligro pero no todas las categorías.</w:t>
            </w:r>
          </w:p>
          <w:p w:rsidR="00B54810" w:rsidRPr="000035E8" w:rsidRDefault="00B54810" w:rsidP="00D4302C">
            <w:pPr>
              <w:pStyle w:val="ListParagraph"/>
              <w:numPr>
                <w:ilvl w:val="0"/>
                <w:numId w:val="79"/>
              </w:numPr>
              <w:spacing w:after="0" w:line="240" w:lineRule="auto"/>
              <w:ind w:right="33"/>
              <w:cnfStyle w:val="000000100000" w:firstRow="0" w:lastRow="0" w:firstColumn="0" w:lastColumn="0" w:oddVBand="0" w:evenVBand="0" w:oddHBand="1" w:evenHBand="0" w:firstRowFirstColumn="0" w:firstRowLastColumn="0" w:lastRowFirstColumn="0" w:lastRowLastColumn="0"/>
              <w:rPr>
                <w:rFonts w:asciiTheme="minorHAnsi" w:hAnsiTheme="minorHAnsi"/>
                <w:kern w:val="24"/>
              </w:rPr>
            </w:pPr>
            <w:r w:rsidRPr="000035E8">
              <w:rPr>
                <w:rFonts w:asciiTheme="minorHAnsi" w:hAnsiTheme="minorHAnsi"/>
                <w:kern w:val="24"/>
              </w:rPr>
              <w:t>Sustancias puras: Hasta 01 diciembre 2010.</w:t>
            </w:r>
          </w:p>
          <w:p w:rsidR="00B54810" w:rsidRPr="000035E8" w:rsidRDefault="00B54810" w:rsidP="00D4302C">
            <w:pPr>
              <w:pStyle w:val="ListParagraph"/>
              <w:numPr>
                <w:ilvl w:val="0"/>
                <w:numId w:val="79"/>
              </w:numPr>
              <w:spacing w:after="0" w:line="240" w:lineRule="auto"/>
              <w:ind w:right="33"/>
              <w:cnfStyle w:val="000000100000" w:firstRow="0" w:lastRow="0" w:firstColumn="0" w:lastColumn="0" w:oddVBand="0" w:evenVBand="0" w:oddHBand="1" w:evenHBand="0" w:firstRowFirstColumn="0" w:firstRowLastColumn="0" w:lastRowFirstColumn="0" w:lastRowLastColumn="0"/>
              <w:rPr>
                <w:kern w:val="24"/>
              </w:rPr>
            </w:pPr>
            <w:r w:rsidRPr="000035E8">
              <w:rPr>
                <w:rFonts w:asciiTheme="minorHAnsi" w:hAnsiTheme="minorHAnsi"/>
                <w:kern w:val="24"/>
              </w:rPr>
              <w:t>Mezclas: Hasta 01 junio 2015.</w:t>
            </w:r>
          </w:p>
        </w:tc>
      </w:tr>
      <w:tr w:rsidR="00B54810" w:rsidRPr="007B75F0" w:rsidTr="00B54810">
        <w:tc>
          <w:tcPr>
            <w:cnfStyle w:val="001000000000" w:firstRow="0" w:lastRow="0" w:firstColumn="1" w:lastColumn="0" w:oddVBand="0" w:evenVBand="0" w:oddHBand="0" w:evenHBand="0" w:firstRowFirstColumn="0" w:firstRowLastColumn="0" w:lastRowFirstColumn="0" w:lastRowLastColumn="0"/>
            <w:tcW w:w="1227" w:type="pct"/>
          </w:tcPr>
          <w:p w:rsidR="00B54810" w:rsidRPr="007B75F0" w:rsidRDefault="00B54810" w:rsidP="00606EAC">
            <w:pPr>
              <w:spacing w:after="0" w:line="240" w:lineRule="auto"/>
              <w:ind w:right="368"/>
              <w:rPr>
                <w:rFonts w:asciiTheme="minorHAnsi" w:hAnsiTheme="minorHAnsi"/>
              </w:rPr>
            </w:pPr>
            <w:r w:rsidRPr="007B75F0">
              <w:rPr>
                <w:rFonts w:asciiTheme="minorHAnsi" w:hAnsiTheme="minorHAnsi"/>
              </w:rPr>
              <w:t>Resultados</w:t>
            </w:r>
          </w:p>
        </w:tc>
        <w:tc>
          <w:tcPr>
            <w:tcW w:w="3773" w:type="pct"/>
          </w:tcPr>
          <w:p w:rsidR="00B54810" w:rsidRPr="000035E8" w:rsidRDefault="00B54810" w:rsidP="00D4302C">
            <w:pPr>
              <w:pStyle w:val="ListParagraph"/>
              <w:numPr>
                <w:ilvl w:val="0"/>
                <w:numId w:val="80"/>
              </w:numPr>
              <w:spacing w:after="0" w:line="240" w:lineRule="auto"/>
              <w:ind w:right="33"/>
              <w:cnfStyle w:val="000000000000" w:firstRow="0" w:lastRow="0" w:firstColumn="0" w:lastColumn="0" w:oddVBand="0" w:evenVBand="0" w:oddHBand="0" w:evenHBand="0" w:firstRowFirstColumn="0" w:firstRowLastColumn="0" w:lastRowFirstColumn="0" w:lastRowLastColumn="0"/>
              <w:rPr>
                <w:rFonts w:asciiTheme="minorHAnsi" w:hAnsiTheme="minorHAnsi"/>
                <w:kern w:val="24"/>
              </w:rPr>
            </w:pPr>
            <w:r w:rsidRPr="000035E8">
              <w:rPr>
                <w:rFonts w:asciiTheme="minorHAnsi" w:hAnsiTheme="minorHAnsi"/>
                <w:kern w:val="24"/>
              </w:rPr>
              <w:t>Fueron modificadas más de 20 partes de la legislación vigente con la CLP, principalmente sobre la adaptación de la clasificación y etiquetado de los peligros.</w:t>
            </w:r>
          </w:p>
          <w:p w:rsidR="00B54810" w:rsidRPr="000035E8" w:rsidRDefault="00B54810" w:rsidP="00D4302C">
            <w:pPr>
              <w:pStyle w:val="ListParagraph"/>
              <w:numPr>
                <w:ilvl w:val="0"/>
                <w:numId w:val="80"/>
              </w:numPr>
              <w:spacing w:after="0" w:line="240" w:lineRule="auto"/>
              <w:ind w:right="33"/>
              <w:cnfStyle w:val="000000000000" w:firstRow="0" w:lastRow="0" w:firstColumn="0" w:lastColumn="0" w:oddVBand="0" w:evenVBand="0" w:oddHBand="0" w:evenHBand="0" w:firstRowFirstColumn="0" w:firstRowLastColumn="0" w:lastRowFirstColumn="0" w:lastRowLastColumn="0"/>
              <w:rPr>
                <w:rFonts w:asciiTheme="minorHAnsi" w:hAnsiTheme="minorHAnsi"/>
                <w:kern w:val="24"/>
              </w:rPr>
            </w:pPr>
            <w:r w:rsidRPr="000035E8">
              <w:rPr>
                <w:rFonts w:asciiTheme="minorHAnsi" w:hAnsiTheme="minorHAnsi"/>
                <w:kern w:val="24"/>
              </w:rPr>
              <w:t>Implementación de un Catálogo de Clasificación y Etiquetado en forma de base de datos que contiene la clasificación y el etiquetado sobre información de sustancias notificadas y registradas recibidas de los fabricantes e importadores. Encargado: ECHA.</w:t>
            </w:r>
          </w:p>
          <w:p w:rsidR="00B54810" w:rsidRPr="000035E8" w:rsidRDefault="00B54810" w:rsidP="00D4302C">
            <w:pPr>
              <w:pStyle w:val="ListParagraph"/>
              <w:numPr>
                <w:ilvl w:val="0"/>
                <w:numId w:val="80"/>
              </w:numPr>
              <w:spacing w:after="0" w:line="240" w:lineRule="auto"/>
              <w:ind w:right="33"/>
              <w:cnfStyle w:val="000000000000" w:firstRow="0" w:lastRow="0" w:firstColumn="0" w:lastColumn="0" w:oddVBand="0" w:evenVBand="0" w:oddHBand="0" w:evenHBand="0" w:firstRowFirstColumn="0" w:firstRowLastColumn="0" w:lastRowFirstColumn="0" w:lastRowLastColumn="0"/>
              <w:rPr>
                <w:rFonts w:asciiTheme="minorHAnsi" w:hAnsiTheme="minorHAnsi"/>
                <w:kern w:val="24"/>
              </w:rPr>
            </w:pPr>
            <w:r w:rsidRPr="000035E8">
              <w:rPr>
                <w:rFonts w:asciiTheme="minorHAnsi" w:hAnsiTheme="minorHAnsi"/>
                <w:kern w:val="24"/>
              </w:rPr>
              <w:t>Aplicación de GHS en todos los Estados miembros de UE.</w:t>
            </w:r>
          </w:p>
          <w:p w:rsidR="00B54810" w:rsidRPr="000035E8" w:rsidRDefault="00B54810" w:rsidP="00D4302C">
            <w:pPr>
              <w:pStyle w:val="ListParagraph"/>
              <w:numPr>
                <w:ilvl w:val="0"/>
                <w:numId w:val="80"/>
              </w:numPr>
              <w:spacing w:after="0" w:line="240" w:lineRule="auto"/>
              <w:ind w:right="33"/>
              <w:cnfStyle w:val="000000000000" w:firstRow="0" w:lastRow="0" w:firstColumn="0" w:lastColumn="0" w:oddVBand="0" w:evenVBand="0" w:oddHBand="0" w:evenHBand="0" w:firstRowFirstColumn="0" w:firstRowLastColumn="0" w:lastRowFirstColumn="0" w:lastRowLastColumn="0"/>
              <w:rPr>
                <w:kern w:val="24"/>
              </w:rPr>
            </w:pPr>
            <w:r w:rsidRPr="000035E8">
              <w:rPr>
                <w:rFonts w:asciiTheme="minorHAnsi" w:hAnsiTheme="minorHAnsi"/>
                <w:kern w:val="24"/>
              </w:rPr>
              <w:t>Elaboración de documento guía (2010) para el sector industrial y autoridades sobre cómo aplicar las disposiciones de la nueva Regulación sobre clasificación y etiquetado, enmarcado dentro del proyecto de implementación del REACH.</w:t>
            </w:r>
          </w:p>
        </w:tc>
      </w:tr>
    </w:tbl>
    <w:p w:rsidR="006D0FB7" w:rsidRDefault="006D0FB7" w:rsidP="00294FB1">
      <w:pPr>
        <w:pStyle w:val="align-justify"/>
        <w:spacing w:before="120" w:beforeAutospacing="0" w:after="180" w:afterAutospacing="0" w:line="264" w:lineRule="auto"/>
        <w:jc w:val="both"/>
        <w:textAlignment w:val="top"/>
        <w:rPr>
          <w:rFonts w:asciiTheme="minorHAnsi" w:hAnsiTheme="minorHAnsi" w:cs="Tahoma"/>
          <w:kern w:val="24"/>
          <w:sz w:val="22"/>
          <w:szCs w:val="22"/>
        </w:rPr>
      </w:pPr>
    </w:p>
    <w:p w:rsidR="000C3606" w:rsidRDefault="00D9198A" w:rsidP="00294FB1">
      <w:pPr>
        <w:pStyle w:val="align-justify"/>
        <w:spacing w:before="120" w:beforeAutospacing="0" w:after="180" w:afterAutospacing="0" w:line="264" w:lineRule="auto"/>
        <w:jc w:val="both"/>
        <w:textAlignment w:val="top"/>
        <w:rPr>
          <w:rFonts w:asciiTheme="minorHAnsi" w:hAnsiTheme="minorHAnsi" w:cs="Tahoma"/>
          <w:kern w:val="24"/>
          <w:sz w:val="22"/>
          <w:szCs w:val="22"/>
        </w:rPr>
      </w:pPr>
      <w:r w:rsidRPr="00532854">
        <w:rPr>
          <w:rFonts w:asciiTheme="minorHAnsi" w:hAnsiTheme="minorHAnsi" w:cs="Tahoma"/>
          <w:kern w:val="24"/>
          <w:sz w:val="22"/>
          <w:szCs w:val="22"/>
        </w:rPr>
        <w:t>La Comunidad Económica Europea está constituida por 28 países miembro: Alemania,</w:t>
      </w:r>
      <w:r w:rsidRPr="00D9198A">
        <w:rPr>
          <w:rFonts w:asciiTheme="minorHAnsi" w:hAnsiTheme="minorHAnsi" w:cs="Tahoma"/>
          <w:kern w:val="24"/>
          <w:sz w:val="22"/>
          <w:szCs w:val="22"/>
        </w:rPr>
        <w:t xml:space="preserve"> Austria, Bélgica, Bulgaria, Croacia, Chipre, Dinamarca, Eslovaquia, Eslovenia, España, Estonia, Finlandia, Francia, Grecia, Holanda, Hungría, Irlanda, Italia, Latvia, Lituania, Luxemburgo, Malta, Polonia, Portugal, Reino Unido, República Checa, Rumania y Suecia. </w:t>
      </w:r>
    </w:p>
    <w:p w:rsidR="00D9198A" w:rsidRPr="00D9198A" w:rsidRDefault="00D9198A" w:rsidP="00606EAC">
      <w:pPr>
        <w:pStyle w:val="align-justify"/>
        <w:spacing w:before="0" w:beforeAutospacing="0" w:after="180" w:afterAutospacing="0" w:line="264" w:lineRule="auto"/>
        <w:jc w:val="both"/>
        <w:textAlignment w:val="top"/>
        <w:rPr>
          <w:rFonts w:asciiTheme="minorHAnsi" w:hAnsiTheme="minorHAnsi" w:cs="Tahoma"/>
          <w:kern w:val="24"/>
          <w:sz w:val="22"/>
          <w:szCs w:val="22"/>
        </w:rPr>
      </w:pPr>
      <w:r w:rsidRPr="00D9198A">
        <w:rPr>
          <w:rFonts w:asciiTheme="minorHAnsi" w:hAnsiTheme="minorHAnsi" w:cs="Tahoma"/>
          <w:kern w:val="24"/>
          <w:sz w:val="22"/>
          <w:szCs w:val="22"/>
        </w:rPr>
        <w:t>Las actividades relacionadas con la implementación del GHS</w:t>
      </w:r>
      <w:r w:rsidRPr="00D9198A">
        <w:rPr>
          <w:rStyle w:val="FootnoteReference"/>
          <w:rFonts w:asciiTheme="minorHAnsi" w:hAnsiTheme="minorHAnsi" w:cs="Tahoma"/>
          <w:kern w:val="24"/>
          <w:sz w:val="22"/>
          <w:szCs w:val="22"/>
        </w:rPr>
        <w:footnoteReference w:id="12"/>
      </w:r>
      <w:r w:rsidRPr="00D9198A">
        <w:rPr>
          <w:rFonts w:asciiTheme="minorHAnsi" w:hAnsiTheme="minorHAnsi" w:cs="Tahoma"/>
          <w:kern w:val="24"/>
          <w:sz w:val="22"/>
          <w:szCs w:val="22"/>
        </w:rPr>
        <w:t xml:space="preserve"> se coordinan a través de las Direcciones de Empresa e Industria, Movilidad y Transporte, Medioambiente, Salud y Consumidores y Agencia Europea de Químicos (European Chemicals Agency, ECHA).</w:t>
      </w:r>
    </w:p>
    <w:p w:rsidR="00D9198A" w:rsidRPr="00D9198A" w:rsidRDefault="00D9198A" w:rsidP="00606EAC">
      <w:pPr>
        <w:pStyle w:val="align-justify"/>
        <w:spacing w:before="0" w:beforeAutospacing="0" w:after="180" w:afterAutospacing="0" w:line="264" w:lineRule="auto"/>
        <w:jc w:val="both"/>
        <w:textAlignment w:val="top"/>
        <w:rPr>
          <w:rFonts w:asciiTheme="minorHAnsi" w:hAnsiTheme="minorHAnsi" w:cs="Tahoma"/>
          <w:kern w:val="24"/>
          <w:sz w:val="22"/>
          <w:szCs w:val="22"/>
        </w:rPr>
      </w:pPr>
      <w:r w:rsidRPr="00D9198A">
        <w:rPr>
          <w:rFonts w:asciiTheme="minorHAnsi" w:hAnsiTheme="minorHAnsi" w:cs="Tahoma"/>
          <w:kern w:val="24"/>
          <w:sz w:val="22"/>
          <w:szCs w:val="22"/>
        </w:rPr>
        <w:t xml:space="preserve">La Comunidad Europea ha trabajado desde el año 2008 en implementar el GHS y con la publicación de las regulaciones (EC) N° 1272/2008 (Reglamento CLP) relativa a la clasificación, etiquetado y embalaje de sustancias y mezclas, y Reglamento REACH (EC) 1907/2006 relativo a registro, evaluación, autorización y restricción de uso de químicos y la Directiva 2008/68/EC para el sector transporte, terrestre y marítimo, se puede deducir que el GHS está implementándose desde el año 2009. </w:t>
      </w:r>
    </w:p>
    <w:p w:rsidR="00D9198A" w:rsidRPr="00D9198A" w:rsidRDefault="00D9198A" w:rsidP="00606EAC">
      <w:pPr>
        <w:pStyle w:val="align-justify"/>
        <w:spacing w:before="0" w:beforeAutospacing="0" w:after="180" w:afterAutospacing="0" w:line="264" w:lineRule="auto"/>
        <w:jc w:val="both"/>
        <w:textAlignment w:val="top"/>
        <w:rPr>
          <w:rFonts w:asciiTheme="minorHAnsi" w:hAnsiTheme="minorHAnsi" w:cs="Tahoma"/>
          <w:kern w:val="24"/>
          <w:sz w:val="22"/>
          <w:szCs w:val="22"/>
        </w:rPr>
      </w:pPr>
      <w:r w:rsidRPr="00D9198A">
        <w:rPr>
          <w:rFonts w:asciiTheme="minorHAnsi" w:hAnsiTheme="minorHAnsi" w:cs="Tahoma"/>
          <w:kern w:val="24"/>
          <w:sz w:val="22"/>
          <w:szCs w:val="22"/>
        </w:rPr>
        <w:t>El Reglamento CLP, es la base de la implementación del GHS y establece un periodo de transición entre la legislación vigente en ese momento y las nuevas instrucciones. Además estipula que al 30 de noviembre de 2010 se debía realizar una reclasificación de las sustancias y al 31 de mayo de 2015 se debe realizar una reclasificación de mezclas. Junto a lo anterior se han ido desarrollando adaptaciones de progreso técnico (ATP) al Reglamento CPL, incorporando nuevas consideraciones a medida que se va mejorando y ampliando la información por parte del GHS. También indica que la ECHA debe establecer y mantener una base de datos actualizada sobre clasificación y etiquetado de sustancias notificadas y registradas en base a información proporcionada por los productores e importadores, que incluye una lista de clasificación armonizada. La primera publicación del registro de la ECHA se realizó el 13 de febrero de 2012. Otra de las acciones contempladas en el Reglamento CLP tiene relación con las Hojas de Datos de Seguridad, cuyos requerimientos compilatorios fueron incorporados mediante la regulación EU 453/2010.</w:t>
      </w:r>
    </w:p>
    <w:p w:rsidR="00B97D75" w:rsidRDefault="00D9198A" w:rsidP="00606EAC">
      <w:pPr>
        <w:pStyle w:val="align-justify"/>
        <w:spacing w:before="0" w:beforeAutospacing="0" w:after="180" w:afterAutospacing="0" w:line="264" w:lineRule="auto"/>
        <w:jc w:val="both"/>
        <w:textAlignment w:val="top"/>
        <w:rPr>
          <w:rFonts w:asciiTheme="minorHAnsi" w:hAnsiTheme="minorHAnsi" w:cs="Tahoma"/>
          <w:sz w:val="22"/>
          <w:szCs w:val="22"/>
        </w:rPr>
      </w:pPr>
      <w:r w:rsidRPr="00D9198A">
        <w:rPr>
          <w:rFonts w:asciiTheme="minorHAnsi" w:hAnsiTheme="minorHAnsi" w:cs="Tahoma"/>
          <w:sz w:val="22"/>
          <w:szCs w:val="22"/>
        </w:rPr>
        <w:t>El Reglamento CLP, en su artículo 46, sobre la ejecución y la presentación de informes, establece que "</w:t>
      </w:r>
      <w:r w:rsidRPr="00D9198A">
        <w:rPr>
          <w:rFonts w:asciiTheme="minorHAnsi" w:hAnsiTheme="minorHAnsi" w:cs="Tahoma"/>
          <w:i/>
          <w:sz w:val="22"/>
          <w:szCs w:val="22"/>
        </w:rPr>
        <w:t>Los Estados miembros adoptarán todas las medidas necesarias, incluido el mantenimiento de un sistema de controles oficiales, para que las sustancias y mezclas no se pongan en el mercado, a menos que hayan sido clasificadas, etiquetado, notificado y envasado de conformidad con el presente Reglamento</w:t>
      </w:r>
      <w:r w:rsidRPr="00D9198A">
        <w:rPr>
          <w:rFonts w:asciiTheme="minorHAnsi" w:hAnsiTheme="minorHAnsi" w:cs="Tahoma"/>
          <w:sz w:val="22"/>
          <w:szCs w:val="22"/>
        </w:rPr>
        <w:t xml:space="preserve">". En términos generales a contar del 01 de junio de 2015, las empresas deberán clasificar las sustancias o mezclas, presentarán notificaciones de clasificación y etiquetado a la ECHA, y etiquetarán y envasarán sus productos de conformidad con el Reglamento CLP. </w:t>
      </w:r>
    </w:p>
    <w:p w:rsidR="00D9198A" w:rsidRPr="000A39D5" w:rsidRDefault="00424527" w:rsidP="00424527">
      <w:pPr>
        <w:pStyle w:val="ListParagraph"/>
        <w:ind w:left="0"/>
        <w:jc w:val="center"/>
        <w:rPr>
          <w:b/>
          <w:sz w:val="22"/>
          <w:szCs w:val="22"/>
        </w:rPr>
      </w:pPr>
      <w:r w:rsidRPr="000A39D5">
        <w:rPr>
          <w:b/>
          <w:sz w:val="22"/>
          <w:szCs w:val="22"/>
        </w:rPr>
        <w:t>Figura 2</w:t>
      </w:r>
      <w:r w:rsidR="00D9198A" w:rsidRPr="000A39D5">
        <w:rPr>
          <w:b/>
          <w:sz w:val="22"/>
          <w:szCs w:val="22"/>
        </w:rPr>
        <w:t>. Línea de tiempo respecto a la implementación del GHS en la</w:t>
      </w:r>
    </w:p>
    <w:p w:rsidR="00D9198A" w:rsidRPr="00D9198A" w:rsidRDefault="00D9198A" w:rsidP="00424527">
      <w:pPr>
        <w:pStyle w:val="ListParagraph"/>
        <w:ind w:left="0"/>
        <w:jc w:val="center"/>
        <w:rPr>
          <w:sz w:val="22"/>
          <w:szCs w:val="22"/>
        </w:rPr>
      </w:pPr>
      <w:r w:rsidRPr="000A39D5">
        <w:rPr>
          <w:b/>
          <w:sz w:val="22"/>
          <w:szCs w:val="22"/>
        </w:rPr>
        <w:t>Comunidad Económica Europea</w:t>
      </w:r>
      <w:r w:rsidRPr="000A39D5">
        <w:rPr>
          <w:rStyle w:val="FootnoteReference"/>
          <w:b/>
          <w:sz w:val="22"/>
          <w:szCs w:val="22"/>
        </w:rPr>
        <w:footnoteReference w:id="13"/>
      </w:r>
    </w:p>
    <w:p w:rsidR="00D9198A" w:rsidRPr="00D9198A" w:rsidRDefault="00D9198A" w:rsidP="00424527">
      <w:pPr>
        <w:pStyle w:val="ListParagraph"/>
        <w:ind w:left="0"/>
        <w:jc w:val="center"/>
        <w:rPr>
          <w:sz w:val="22"/>
          <w:szCs w:val="22"/>
        </w:rPr>
      </w:pPr>
      <w:r w:rsidRPr="00D9198A">
        <w:rPr>
          <w:noProof/>
          <w:sz w:val="22"/>
          <w:szCs w:val="22"/>
          <w:lang w:val="en-AU" w:eastAsia="en-AU"/>
        </w:rPr>
        <w:drawing>
          <wp:inline distT="0" distB="0" distL="0" distR="0" wp14:anchorId="29DDCA69" wp14:editId="3CAAE6D3">
            <wp:extent cx="5814857" cy="3564409"/>
            <wp:effectExtent l="19050" t="19050" r="14443" b="16991"/>
            <wp:docPr id="6" name="Imagen 6" descr="CLP time line with deadli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LP time line with deadlines"/>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27143" cy="3571940"/>
                    </a:xfrm>
                    <a:prstGeom prst="rect">
                      <a:avLst/>
                    </a:prstGeom>
                    <a:noFill/>
                    <a:ln>
                      <a:solidFill>
                        <a:schemeClr val="accent1"/>
                      </a:solidFill>
                    </a:ln>
                  </pic:spPr>
                </pic:pic>
              </a:graphicData>
            </a:graphic>
          </wp:inline>
        </w:drawing>
      </w:r>
    </w:p>
    <w:p w:rsidR="005912F0" w:rsidRDefault="005912F0" w:rsidP="00606EAC">
      <w:pPr>
        <w:jc w:val="both"/>
        <w:rPr>
          <w:sz w:val="22"/>
          <w:szCs w:val="22"/>
        </w:rPr>
      </w:pPr>
    </w:p>
    <w:p w:rsidR="00D9198A" w:rsidRPr="00D9198A" w:rsidRDefault="00D9198A" w:rsidP="00606EAC">
      <w:pPr>
        <w:jc w:val="both"/>
        <w:rPr>
          <w:sz w:val="22"/>
          <w:szCs w:val="22"/>
        </w:rPr>
      </w:pPr>
      <w:r w:rsidRPr="00D9198A">
        <w:rPr>
          <w:sz w:val="22"/>
          <w:szCs w:val="22"/>
        </w:rPr>
        <w:t>No se logró identificar información actualizada respecto a la implementación en los distintos países miembro</w:t>
      </w:r>
      <w:r w:rsidR="002D4486">
        <w:rPr>
          <w:sz w:val="22"/>
          <w:szCs w:val="22"/>
        </w:rPr>
        <w:t>s</w:t>
      </w:r>
      <w:r w:rsidRPr="00D9198A">
        <w:rPr>
          <w:sz w:val="22"/>
          <w:szCs w:val="22"/>
        </w:rPr>
        <w:t xml:space="preserve">, ni un análisis crítico de cómo ha sido el proceso. La mayoría de los documentos que se refieren a brechas de implementación fueron realizados entre los años 2006 y 2009, es decir previo o al inicio de la etapa de implementación. </w:t>
      </w:r>
    </w:p>
    <w:p w:rsidR="00D9198A" w:rsidRPr="00D9198A" w:rsidRDefault="000A39D5" w:rsidP="00606EAC">
      <w:pPr>
        <w:jc w:val="both"/>
        <w:rPr>
          <w:sz w:val="22"/>
          <w:szCs w:val="22"/>
        </w:rPr>
      </w:pPr>
      <w:r w:rsidRPr="000A39D5">
        <w:rPr>
          <w:sz w:val="22"/>
          <w:szCs w:val="22"/>
        </w:rPr>
        <w:t xml:space="preserve">En cuanto al organismo responsable y fiscalizador del GHS en esta región, </w:t>
      </w:r>
      <w:r w:rsidR="000C3606">
        <w:rPr>
          <w:sz w:val="22"/>
          <w:szCs w:val="22"/>
        </w:rPr>
        <w:t>é</w:t>
      </w:r>
      <w:r w:rsidRPr="000A39D5">
        <w:rPr>
          <w:sz w:val="22"/>
          <w:szCs w:val="22"/>
        </w:rPr>
        <w:t>ste corresponde a l</w:t>
      </w:r>
      <w:r w:rsidR="00D9198A" w:rsidRPr="000A39D5">
        <w:rPr>
          <w:sz w:val="22"/>
          <w:szCs w:val="22"/>
        </w:rPr>
        <w:t>a Agencia Europea de Sustancias y Mezclas Químicas (ECHA)</w:t>
      </w:r>
      <w:r w:rsidRPr="000A39D5">
        <w:rPr>
          <w:sz w:val="22"/>
          <w:szCs w:val="22"/>
        </w:rPr>
        <w:t>, la cual</w:t>
      </w:r>
      <w:r w:rsidR="00D9198A" w:rsidRPr="000A39D5">
        <w:rPr>
          <w:sz w:val="22"/>
          <w:szCs w:val="22"/>
        </w:rPr>
        <w:t xml:space="preserve"> será el timón de las autoridades</w:t>
      </w:r>
      <w:r w:rsidR="00D9198A" w:rsidRPr="00D9198A">
        <w:rPr>
          <w:sz w:val="22"/>
          <w:szCs w:val="22"/>
        </w:rPr>
        <w:t xml:space="preserve"> reguladoras a la hora de aplicar la pionera legislación de la UE sobre productos químicos en pro de la salud humana y el medio ambiente, así como de la innovación y la competitividad. La ECHA asesora a las empresas en el cumplimiento de la legislación, aboga por el uso seguro de los productos químicos, brinda información sobre los productos químicos y se ocupa de los productos químicos que suscitan inquietud.</w:t>
      </w:r>
    </w:p>
    <w:p w:rsidR="00D9198A" w:rsidRPr="00D9198A" w:rsidRDefault="00D9198A" w:rsidP="00606EAC">
      <w:pPr>
        <w:jc w:val="both"/>
        <w:rPr>
          <w:sz w:val="22"/>
          <w:szCs w:val="22"/>
        </w:rPr>
      </w:pPr>
      <w:r w:rsidRPr="00D9198A">
        <w:rPr>
          <w:sz w:val="22"/>
          <w:szCs w:val="22"/>
        </w:rPr>
        <w:t>En su organización la ECHA cuenta con un Foro de Intercambio de Información</w:t>
      </w:r>
      <w:r w:rsidRPr="00D9198A">
        <w:rPr>
          <w:rStyle w:val="FootnoteReference"/>
          <w:sz w:val="22"/>
          <w:szCs w:val="22"/>
        </w:rPr>
        <w:footnoteReference w:id="14"/>
      </w:r>
      <w:r w:rsidRPr="00D9198A">
        <w:rPr>
          <w:sz w:val="22"/>
          <w:szCs w:val="22"/>
        </w:rPr>
        <w:t xml:space="preserve"> relativo al cumplimiento de la normativa (Foro), de acuerdo con el Reglamento (CE) 1907/2006, coordina una red de autoridades de los Estados miembros responsables del cumplimiento, y tiene los siguientes cometidos:</w:t>
      </w:r>
    </w:p>
    <w:p w:rsidR="00D9198A" w:rsidRPr="004B0384" w:rsidRDefault="00D9198A" w:rsidP="00D4302C">
      <w:pPr>
        <w:pStyle w:val="ListParagraph"/>
        <w:numPr>
          <w:ilvl w:val="0"/>
          <w:numId w:val="45"/>
        </w:numPr>
        <w:shd w:val="clear" w:color="auto" w:fill="FFFFFF"/>
        <w:jc w:val="both"/>
        <w:rPr>
          <w:sz w:val="22"/>
          <w:szCs w:val="22"/>
        </w:rPr>
      </w:pPr>
      <w:r w:rsidRPr="004B0384">
        <w:rPr>
          <w:sz w:val="22"/>
          <w:szCs w:val="22"/>
        </w:rPr>
        <w:t>difundir las buenas prácticas y poner de manifiesto los problemas que se planteen a nivel comunitario.</w:t>
      </w:r>
    </w:p>
    <w:p w:rsidR="00D9198A" w:rsidRPr="004B0384" w:rsidRDefault="00D9198A" w:rsidP="00D4302C">
      <w:pPr>
        <w:pStyle w:val="ListParagraph"/>
        <w:numPr>
          <w:ilvl w:val="0"/>
          <w:numId w:val="45"/>
        </w:numPr>
        <w:shd w:val="clear" w:color="auto" w:fill="FFFFFF"/>
        <w:jc w:val="both"/>
        <w:rPr>
          <w:sz w:val="22"/>
          <w:szCs w:val="22"/>
        </w:rPr>
      </w:pPr>
      <w:r w:rsidRPr="004B0384">
        <w:rPr>
          <w:sz w:val="22"/>
          <w:szCs w:val="22"/>
        </w:rPr>
        <w:t>proponer, coordinar y evaluar proyectos de armonización en cumplimiento de la normativa e inspecciones conjuntas.</w:t>
      </w:r>
    </w:p>
    <w:p w:rsidR="00D9198A" w:rsidRPr="004B0384" w:rsidRDefault="00D9198A" w:rsidP="00D4302C">
      <w:pPr>
        <w:pStyle w:val="ListParagraph"/>
        <w:numPr>
          <w:ilvl w:val="0"/>
          <w:numId w:val="45"/>
        </w:numPr>
        <w:shd w:val="clear" w:color="auto" w:fill="FFFFFF"/>
        <w:jc w:val="both"/>
        <w:rPr>
          <w:sz w:val="22"/>
          <w:szCs w:val="22"/>
        </w:rPr>
      </w:pPr>
      <w:r w:rsidRPr="004B0384">
        <w:rPr>
          <w:sz w:val="22"/>
          <w:szCs w:val="22"/>
        </w:rPr>
        <w:t>coordinar el intercambio de inspectores.</w:t>
      </w:r>
    </w:p>
    <w:p w:rsidR="00D9198A" w:rsidRPr="004B0384" w:rsidRDefault="00D9198A" w:rsidP="00D4302C">
      <w:pPr>
        <w:pStyle w:val="ListParagraph"/>
        <w:numPr>
          <w:ilvl w:val="0"/>
          <w:numId w:val="45"/>
        </w:numPr>
        <w:shd w:val="clear" w:color="auto" w:fill="FFFFFF"/>
        <w:jc w:val="both"/>
        <w:rPr>
          <w:sz w:val="22"/>
          <w:szCs w:val="22"/>
        </w:rPr>
      </w:pPr>
      <w:r w:rsidRPr="004B0384">
        <w:rPr>
          <w:sz w:val="22"/>
          <w:szCs w:val="22"/>
        </w:rPr>
        <w:t>identificar las estrategias de cumplimiento de la normativa, así como las mejores prácticas de su cumplimiento.</w:t>
      </w:r>
    </w:p>
    <w:p w:rsidR="00D9198A" w:rsidRPr="004B0384" w:rsidRDefault="00D9198A" w:rsidP="00D4302C">
      <w:pPr>
        <w:pStyle w:val="ListParagraph"/>
        <w:numPr>
          <w:ilvl w:val="0"/>
          <w:numId w:val="45"/>
        </w:numPr>
        <w:shd w:val="clear" w:color="auto" w:fill="FFFFFF"/>
        <w:jc w:val="both"/>
        <w:rPr>
          <w:sz w:val="22"/>
          <w:szCs w:val="22"/>
        </w:rPr>
      </w:pPr>
      <w:r w:rsidRPr="004B0384">
        <w:rPr>
          <w:sz w:val="22"/>
          <w:szCs w:val="22"/>
        </w:rPr>
        <w:t>desarrollar métodos e instrumentos de trabajo útiles para los inspectores locales.</w:t>
      </w:r>
    </w:p>
    <w:p w:rsidR="00D9198A" w:rsidRPr="004B0384" w:rsidRDefault="00D9198A" w:rsidP="00D4302C">
      <w:pPr>
        <w:pStyle w:val="ListParagraph"/>
        <w:numPr>
          <w:ilvl w:val="0"/>
          <w:numId w:val="45"/>
        </w:numPr>
        <w:shd w:val="clear" w:color="auto" w:fill="FFFFFF"/>
        <w:jc w:val="both"/>
        <w:rPr>
          <w:sz w:val="22"/>
          <w:szCs w:val="22"/>
        </w:rPr>
      </w:pPr>
      <w:r w:rsidRPr="004B0384">
        <w:rPr>
          <w:sz w:val="22"/>
          <w:szCs w:val="22"/>
        </w:rPr>
        <w:t>desarrollar un procedimiento electrónico de intercambio  de información.</w:t>
      </w:r>
    </w:p>
    <w:p w:rsidR="00D9198A" w:rsidRPr="004B0384" w:rsidRDefault="00D9198A" w:rsidP="00D4302C">
      <w:pPr>
        <w:pStyle w:val="ListParagraph"/>
        <w:numPr>
          <w:ilvl w:val="0"/>
          <w:numId w:val="45"/>
        </w:numPr>
        <w:shd w:val="clear" w:color="auto" w:fill="FFFFFF"/>
        <w:jc w:val="both"/>
        <w:rPr>
          <w:sz w:val="22"/>
          <w:szCs w:val="22"/>
        </w:rPr>
      </w:pPr>
      <w:r w:rsidRPr="004B0384">
        <w:rPr>
          <w:sz w:val="22"/>
          <w:szCs w:val="22"/>
        </w:rPr>
        <w:t>servir de enlace con la industria, teniendo particularmente en cuenta las necesidades específicas de las PYME, y otras partes interesadas, incluyendo, en la medida en que resulte necesario, las organizaciones internacionales pertinentes.</w:t>
      </w:r>
    </w:p>
    <w:p w:rsidR="00D9198A" w:rsidRPr="004B0384" w:rsidRDefault="00D9198A" w:rsidP="00D4302C">
      <w:pPr>
        <w:pStyle w:val="ListParagraph"/>
        <w:numPr>
          <w:ilvl w:val="0"/>
          <w:numId w:val="45"/>
        </w:numPr>
        <w:shd w:val="clear" w:color="auto" w:fill="FFFFFF"/>
        <w:jc w:val="both"/>
        <w:rPr>
          <w:sz w:val="22"/>
          <w:szCs w:val="22"/>
        </w:rPr>
      </w:pPr>
      <w:r w:rsidRPr="004B0384">
        <w:rPr>
          <w:sz w:val="22"/>
          <w:szCs w:val="22"/>
        </w:rPr>
        <w:t>examinar propuestas de restricciones para asesorar sobre su aplicabilidad.</w:t>
      </w:r>
    </w:p>
    <w:p w:rsidR="00D9198A" w:rsidRPr="004B0384" w:rsidRDefault="00D9198A" w:rsidP="00D4302C">
      <w:pPr>
        <w:pStyle w:val="ListParagraph"/>
        <w:numPr>
          <w:ilvl w:val="0"/>
          <w:numId w:val="45"/>
        </w:numPr>
        <w:shd w:val="clear" w:color="auto" w:fill="FFFFFF"/>
        <w:jc w:val="both"/>
        <w:rPr>
          <w:sz w:val="22"/>
          <w:szCs w:val="22"/>
        </w:rPr>
      </w:pPr>
      <w:r w:rsidRPr="004B0384">
        <w:rPr>
          <w:sz w:val="22"/>
          <w:szCs w:val="22"/>
        </w:rPr>
        <w:t>convenir las cuestiones comunes que deban incluirse en los informes anuales de los Estados miembros en relación con la aplicación.</w:t>
      </w:r>
    </w:p>
    <w:p w:rsidR="00D9198A" w:rsidRDefault="00D9198A" w:rsidP="00606EAC">
      <w:pPr>
        <w:jc w:val="both"/>
        <w:rPr>
          <w:sz w:val="22"/>
          <w:szCs w:val="22"/>
        </w:rPr>
      </w:pPr>
      <w:r w:rsidRPr="00D9198A">
        <w:rPr>
          <w:sz w:val="22"/>
          <w:szCs w:val="22"/>
        </w:rPr>
        <w:t>Se logró establecer que la ECHA ha realizado 3 programas de inspección a empresas productoras e importadoras de sustancias químicas para evaluar cumplimiento del Reglamento CLP. La última inspección se realizó el año 2013</w:t>
      </w:r>
      <w:r w:rsidRPr="00D9198A">
        <w:rPr>
          <w:rStyle w:val="FootnoteReference"/>
          <w:sz w:val="22"/>
          <w:szCs w:val="22"/>
        </w:rPr>
        <w:footnoteReference w:id="15"/>
      </w:r>
      <w:r w:rsidRPr="00D9198A">
        <w:rPr>
          <w:sz w:val="22"/>
          <w:szCs w:val="22"/>
        </w:rPr>
        <w:t xml:space="preserve"> a 528 empresas de los 28 países miembros.  Se inspeccionó al 53% de las empresas productoras de químicos y al 30% de los distribuidores. El nivel de cumplimiento es del 86%, dependiendo del tamaño de la empresa, productor/importador y número de sustancias declaradas. </w:t>
      </w:r>
    </w:p>
    <w:p w:rsidR="00B54810" w:rsidRDefault="00B54810" w:rsidP="00872364">
      <w:pPr>
        <w:pStyle w:val="Heading3"/>
        <w:ind w:left="709"/>
      </w:pPr>
      <w:bookmarkStart w:id="63" w:name="_Toc388552085"/>
      <w:bookmarkStart w:id="64" w:name="_Toc418168876"/>
      <w:r>
        <w:t>América del Norte</w:t>
      </w:r>
      <w:bookmarkEnd w:id="63"/>
      <w:bookmarkEnd w:id="64"/>
    </w:p>
    <w:p w:rsidR="005912F0" w:rsidRDefault="00B54810" w:rsidP="00606EAC">
      <w:pPr>
        <w:jc w:val="both"/>
        <w:rPr>
          <w:sz w:val="22"/>
          <w:szCs w:val="22"/>
        </w:rPr>
      </w:pPr>
      <w:bookmarkStart w:id="65" w:name="_Toc388552086"/>
      <w:r w:rsidRPr="00B84D27">
        <w:rPr>
          <w:sz w:val="22"/>
          <w:szCs w:val="22"/>
        </w:rPr>
        <w:t>Los países analizados en esta zona geográfica corresponden a Estados Unidos y Canadá. Ambos países acordaron, previamente al GHS, alinear sus sistemas de clasificación y etiquetado, por lo que han creado instancias de colaboración conjunta para la implementación del GHS en sus jurisdicciones respectivas.</w:t>
      </w:r>
      <w:bookmarkEnd w:id="65"/>
      <w:r w:rsidR="006F63FE">
        <w:rPr>
          <w:sz w:val="22"/>
          <w:szCs w:val="22"/>
        </w:rPr>
        <w:t xml:space="preserve"> </w:t>
      </w:r>
    </w:p>
    <w:p w:rsidR="005912F0" w:rsidRPr="00B84D27" w:rsidRDefault="005912F0" w:rsidP="00606EAC">
      <w:pPr>
        <w:jc w:val="both"/>
        <w:rPr>
          <w:sz w:val="22"/>
          <w:szCs w:val="22"/>
        </w:rPr>
      </w:pPr>
    </w:p>
    <w:p w:rsidR="00B54810" w:rsidRPr="002D4486" w:rsidRDefault="006F63FE" w:rsidP="00872364">
      <w:pPr>
        <w:pStyle w:val="Heading4"/>
        <w:spacing w:before="0" w:after="180"/>
        <w:ind w:left="851" w:hanging="862"/>
        <w:rPr>
          <w:b/>
          <w:i/>
          <w:caps w:val="0"/>
        </w:rPr>
      </w:pPr>
      <w:bookmarkStart w:id="66" w:name="_Toc388552087"/>
      <w:r w:rsidRPr="002D4486">
        <w:rPr>
          <w:b/>
          <w:i/>
          <w:caps w:val="0"/>
        </w:rPr>
        <w:t xml:space="preserve"> </w:t>
      </w:r>
      <w:bookmarkStart w:id="67" w:name="_Toc418168877"/>
      <w:r w:rsidR="00B54810" w:rsidRPr="002D4486">
        <w:rPr>
          <w:b/>
          <w:i/>
          <w:caps w:val="0"/>
        </w:rPr>
        <w:t>Estados Unidos</w:t>
      </w:r>
      <w:bookmarkEnd w:id="66"/>
      <w:bookmarkEnd w:id="67"/>
    </w:p>
    <w:tbl>
      <w:tblPr>
        <w:tblStyle w:val="Listaclara-nfasis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508"/>
      </w:tblGrid>
      <w:tr w:rsidR="00B54810" w:rsidRPr="00B51166" w:rsidTr="0087236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B54810" w:rsidRPr="006B28A8" w:rsidRDefault="00B54810" w:rsidP="00606EAC">
            <w:pPr>
              <w:spacing w:after="0" w:line="240" w:lineRule="auto"/>
              <w:ind w:right="368"/>
              <w:rPr>
                <w:rFonts w:asciiTheme="minorHAnsi" w:hAnsiTheme="minorHAnsi"/>
              </w:rPr>
            </w:pPr>
            <w:r w:rsidRPr="006B28A8">
              <w:rPr>
                <w:rFonts w:asciiTheme="minorHAnsi" w:hAnsiTheme="minorHAnsi"/>
              </w:rPr>
              <w:t>Encargado</w:t>
            </w:r>
          </w:p>
        </w:tc>
        <w:tc>
          <w:tcPr>
            <w:tcW w:w="0" w:type="auto"/>
          </w:tcPr>
          <w:p w:rsidR="00B54810" w:rsidRPr="006B28A8" w:rsidRDefault="00B54810" w:rsidP="00606EAC">
            <w:pPr>
              <w:spacing w:after="0" w:line="240" w:lineRule="auto"/>
              <w:ind w:right="368"/>
              <w:cnfStyle w:val="100000000000" w:firstRow="1" w:lastRow="0" w:firstColumn="0" w:lastColumn="0" w:oddVBand="0" w:evenVBand="0" w:oddHBand="0" w:evenHBand="0" w:firstRowFirstColumn="0" w:firstRowLastColumn="0" w:lastRowFirstColumn="0" w:lastRowLastColumn="0"/>
              <w:rPr>
                <w:rFonts w:asciiTheme="minorHAnsi" w:hAnsiTheme="minorHAnsi"/>
                <w:lang w:val="en-US"/>
              </w:rPr>
            </w:pPr>
            <w:r w:rsidRPr="006B28A8">
              <w:rPr>
                <w:rFonts w:asciiTheme="minorHAnsi" w:hAnsiTheme="minorHAnsi"/>
                <w:lang w:val="en-US"/>
              </w:rPr>
              <w:t>OSHA (U.S</w:t>
            </w:r>
            <w:r>
              <w:rPr>
                <w:rFonts w:asciiTheme="minorHAnsi" w:hAnsiTheme="minorHAnsi"/>
                <w:lang w:val="en-US"/>
              </w:rPr>
              <w:t>.</w:t>
            </w:r>
            <w:r w:rsidRPr="006B28A8">
              <w:rPr>
                <w:rFonts w:asciiTheme="minorHAnsi" w:hAnsiTheme="minorHAnsi"/>
                <w:lang w:val="en-US"/>
              </w:rPr>
              <w:t xml:space="preserve"> Occupational Safety and Health Administration)</w:t>
            </w:r>
          </w:p>
        </w:tc>
      </w:tr>
      <w:tr w:rsidR="00B54810" w:rsidRPr="006B28A8" w:rsidTr="008723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tcPr>
          <w:p w:rsidR="00B54810" w:rsidRPr="006B28A8" w:rsidRDefault="00B54810" w:rsidP="00606EAC">
            <w:pPr>
              <w:spacing w:after="0" w:line="240" w:lineRule="auto"/>
              <w:ind w:right="368"/>
              <w:rPr>
                <w:rFonts w:asciiTheme="minorHAnsi" w:hAnsiTheme="minorHAnsi"/>
              </w:rPr>
            </w:pPr>
            <w:r w:rsidRPr="006B28A8">
              <w:rPr>
                <w:rFonts w:asciiTheme="minorHAnsi" w:hAnsiTheme="minorHAnsi"/>
              </w:rPr>
              <w:t xml:space="preserve">Principales participantes </w:t>
            </w:r>
          </w:p>
        </w:tc>
        <w:tc>
          <w:tcPr>
            <w:tcW w:w="0" w:type="auto"/>
            <w:tcBorders>
              <w:top w:val="none" w:sz="0" w:space="0" w:color="auto"/>
              <w:bottom w:val="none" w:sz="0" w:space="0" w:color="auto"/>
              <w:right w:val="none" w:sz="0" w:space="0" w:color="auto"/>
            </w:tcBorders>
          </w:tcPr>
          <w:p w:rsidR="00B54810" w:rsidRPr="006B28A8" w:rsidRDefault="00B54810" w:rsidP="00606EAC">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6B28A8">
              <w:rPr>
                <w:rFonts w:asciiTheme="minorHAnsi" w:hAnsiTheme="minorHAnsi"/>
              </w:rPr>
              <w:t>Departamento del Trabajo</w:t>
            </w:r>
            <w:r w:rsidR="00F22C2B">
              <w:rPr>
                <w:rFonts w:asciiTheme="minorHAnsi" w:hAnsiTheme="minorHAnsi"/>
              </w:rPr>
              <w:t xml:space="preserve"> (OSHA)</w:t>
            </w:r>
            <w:r w:rsidRPr="006B28A8">
              <w:rPr>
                <w:rFonts w:asciiTheme="minorHAnsi" w:hAnsiTheme="minorHAnsi"/>
              </w:rPr>
              <w:t>, Departamento de Transporte</w:t>
            </w:r>
            <w:r w:rsidR="00F22C2B">
              <w:rPr>
                <w:rFonts w:asciiTheme="minorHAnsi" w:hAnsiTheme="minorHAnsi"/>
              </w:rPr>
              <w:t xml:space="preserve"> (DOT)</w:t>
            </w:r>
            <w:r w:rsidRPr="006B28A8">
              <w:rPr>
                <w:rFonts w:asciiTheme="minorHAnsi" w:hAnsiTheme="minorHAnsi"/>
              </w:rPr>
              <w:t>, Agencia de Protección Ambiental (EPA), Comisión de Seguridad de Productos del Consumidor (CPSC)</w:t>
            </w:r>
            <w:r>
              <w:rPr>
                <w:rFonts w:asciiTheme="minorHAnsi" w:hAnsiTheme="minorHAnsi"/>
              </w:rPr>
              <w:t>.</w:t>
            </w:r>
          </w:p>
        </w:tc>
      </w:tr>
      <w:tr w:rsidR="00B54810" w:rsidRPr="006B28A8" w:rsidTr="00872364">
        <w:tc>
          <w:tcPr>
            <w:cnfStyle w:val="001000000000" w:firstRow="0" w:lastRow="0" w:firstColumn="1" w:lastColumn="0" w:oddVBand="0" w:evenVBand="0" w:oddHBand="0" w:evenHBand="0" w:firstRowFirstColumn="0" w:firstRowLastColumn="0" w:lastRowFirstColumn="0" w:lastRowLastColumn="0"/>
            <w:tcW w:w="0" w:type="auto"/>
          </w:tcPr>
          <w:p w:rsidR="00B54810" w:rsidRPr="006B28A8" w:rsidRDefault="00B54810" w:rsidP="00606EAC">
            <w:pPr>
              <w:spacing w:after="0" w:line="240" w:lineRule="auto"/>
              <w:ind w:right="368"/>
              <w:rPr>
                <w:rFonts w:asciiTheme="minorHAnsi" w:hAnsiTheme="minorHAnsi"/>
              </w:rPr>
            </w:pPr>
            <w:r w:rsidRPr="006B28A8">
              <w:rPr>
                <w:rFonts w:asciiTheme="minorHAnsi" w:hAnsiTheme="minorHAnsi"/>
              </w:rPr>
              <w:t>Antecedentes</w:t>
            </w:r>
          </w:p>
        </w:tc>
        <w:tc>
          <w:tcPr>
            <w:tcW w:w="0" w:type="auto"/>
          </w:tcPr>
          <w:p w:rsidR="00B54810" w:rsidRPr="006B28A8" w:rsidRDefault="00B54810" w:rsidP="000A39D5">
            <w:pPr>
              <w:pStyle w:val="ListParagraph"/>
              <w:numPr>
                <w:ilvl w:val="0"/>
                <w:numId w:val="11"/>
              </w:numPr>
              <w:spacing w:after="0" w:line="240" w:lineRule="auto"/>
              <w:ind w:left="412"/>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6B28A8">
              <w:rPr>
                <w:rFonts w:asciiTheme="minorHAnsi" w:hAnsiTheme="minorHAnsi"/>
              </w:rPr>
              <w:t>Las instituciones mencionadas en el punto anterior regulan la clasificación y comunicación de los productos peligrosos, teniendo cada una su propio sistema y criterios de clasificación.</w:t>
            </w:r>
          </w:p>
          <w:p w:rsidR="00B54810" w:rsidRPr="006B28A8" w:rsidRDefault="00B54810" w:rsidP="000A39D5">
            <w:pPr>
              <w:pStyle w:val="ListParagraph"/>
              <w:numPr>
                <w:ilvl w:val="0"/>
                <w:numId w:val="11"/>
              </w:numPr>
              <w:spacing w:after="0" w:line="240" w:lineRule="auto"/>
              <w:ind w:left="412"/>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6B28A8">
              <w:rPr>
                <w:rFonts w:asciiTheme="minorHAnsi" w:hAnsiTheme="minorHAnsi"/>
              </w:rPr>
              <w:t>Se formó Grupo Interinstitucional de trabajo para la implementación de GHS</w:t>
            </w:r>
            <w:r>
              <w:rPr>
                <w:rFonts w:asciiTheme="minorHAnsi" w:hAnsiTheme="minorHAnsi"/>
              </w:rPr>
              <w:t>.</w:t>
            </w:r>
          </w:p>
          <w:p w:rsidR="00B54810" w:rsidRPr="006B28A8" w:rsidRDefault="00B54810" w:rsidP="000A39D5">
            <w:pPr>
              <w:pStyle w:val="ListParagraph"/>
              <w:numPr>
                <w:ilvl w:val="0"/>
                <w:numId w:val="11"/>
              </w:numPr>
              <w:spacing w:after="0" w:line="240" w:lineRule="auto"/>
              <w:ind w:left="412"/>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6B28A8">
              <w:rPr>
                <w:rFonts w:asciiTheme="minorHAnsi" w:hAnsiTheme="minorHAnsi"/>
              </w:rPr>
              <w:t>Norma de Comunicación de Peligros (HCS) para asegurar la evaluación de los riesgos y de todas las sustancias químicas producidas o importadas y que la información sobre sus peligros se transmita a los empleadores y empleados.</w:t>
            </w:r>
          </w:p>
          <w:p w:rsidR="00B54810" w:rsidRPr="006B28A8" w:rsidRDefault="00B54810" w:rsidP="000A39D5">
            <w:pPr>
              <w:pStyle w:val="ListParagraph"/>
              <w:numPr>
                <w:ilvl w:val="0"/>
                <w:numId w:val="11"/>
              </w:numPr>
              <w:spacing w:after="0" w:line="240" w:lineRule="auto"/>
              <w:ind w:left="412"/>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6B28A8">
              <w:rPr>
                <w:rFonts w:asciiTheme="minorHAnsi" w:hAnsiTheme="minorHAnsi"/>
              </w:rPr>
              <w:t>Análisis de situación actual y de vacíos año 2004.</w:t>
            </w:r>
          </w:p>
        </w:tc>
      </w:tr>
      <w:tr w:rsidR="00B54810" w:rsidRPr="006B28A8" w:rsidTr="008723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tcPr>
          <w:p w:rsidR="00B54810" w:rsidRPr="006B28A8" w:rsidRDefault="00B54810" w:rsidP="00606EAC">
            <w:pPr>
              <w:spacing w:after="0" w:line="240" w:lineRule="auto"/>
              <w:ind w:right="368"/>
              <w:jc w:val="left"/>
              <w:rPr>
                <w:rFonts w:asciiTheme="minorHAnsi" w:hAnsiTheme="minorHAnsi"/>
              </w:rPr>
            </w:pPr>
            <w:r w:rsidRPr="006B28A8">
              <w:rPr>
                <w:rFonts w:asciiTheme="minorHAnsi" w:hAnsiTheme="minorHAnsi"/>
              </w:rPr>
              <w:t>Estrategia de implementación</w:t>
            </w:r>
          </w:p>
        </w:tc>
        <w:tc>
          <w:tcPr>
            <w:tcW w:w="0" w:type="auto"/>
            <w:tcBorders>
              <w:top w:val="none" w:sz="0" w:space="0" w:color="auto"/>
              <w:bottom w:val="none" w:sz="0" w:space="0" w:color="auto"/>
              <w:right w:val="none" w:sz="0" w:space="0" w:color="auto"/>
            </w:tcBorders>
          </w:tcPr>
          <w:p w:rsidR="00B54810" w:rsidRPr="006B28A8" w:rsidRDefault="00B54810" w:rsidP="00606EAC">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6B28A8">
              <w:rPr>
                <w:rFonts w:asciiTheme="minorHAnsi" w:hAnsiTheme="minorHAnsi"/>
                <w:u w:val="single"/>
              </w:rPr>
              <w:t>Sector Transporte</w:t>
            </w:r>
            <w:r w:rsidRPr="006B28A8">
              <w:rPr>
                <w:rFonts w:asciiTheme="minorHAnsi" w:hAnsiTheme="minorHAnsi"/>
              </w:rPr>
              <w:t xml:space="preserve">: </w:t>
            </w:r>
          </w:p>
          <w:p w:rsidR="00B54810" w:rsidRPr="006B28A8" w:rsidRDefault="00B54810" w:rsidP="00606EAC">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u w:val="single"/>
              </w:rPr>
            </w:pPr>
            <w:r w:rsidRPr="006B28A8">
              <w:rPr>
                <w:rFonts w:asciiTheme="minorHAnsi" w:hAnsiTheme="minorHAnsi"/>
              </w:rPr>
              <w:t>El GHS se implementa a través del Reglamento Modelo de las Naciones Unidas sobre transporte de productos peligrosos que se encuentra alineado con el GHS.</w:t>
            </w:r>
          </w:p>
          <w:p w:rsidR="00B54810" w:rsidRDefault="00B54810" w:rsidP="00606EAC">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u w:val="single"/>
              </w:rPr>
            </w:pPr>
          </w:p>
          <w:p w:rsidR="00B54810" w:rsidRPr="006B28A8" w:rsidRDefault="00B54810" w:rsidP="00606EAC">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6B28A8">
              <w:rPr>
                <w:rFonts w:asciiTheme="minorHAnsi" w:hAnsiTheme="minorHAnsi"/>
                <w:u w:val="single"/>
              </w:rPr>
              <w:t>2009</w:t>
            </w:r>
            <w:r w:rsidRPr="006B28A8">
              <w:rPr>
                <w:rFonts w:asciiTheme="minorHAnsi" w:hAnsiTheme="minorHAnsi"/>
              </w:rPr>
              <w:t xml:space="preserve">: Se comenzó el trabajo para alinear el existente HCS con el GHS mediante un proceso de reglamentación. </w:t>
            </w:r>
          </w:p>
          <w:p w:rsidR="00B54810" w:rsidRPr="006B28A8" w:rsidRDefault="00B54810" w:rsidP="000A39D5">
            <w:pPr>
              <w:pStyle w:val="ListParagraph"/>
              <w:numPr>
                <w:ilvl w:val="0"/>
                <w:numId w:val="12"/>
              </w:numPr>
              <w:spacing w:after="0" w:line="240" w:lineRule="auto"/>
              <w:ind w:left="412"/>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6B28A8">
              <w:rPr>
                <w:rFonts w:asciiTheme="minorHAnsi" w:hAnsiTheme="minorHAnsi"/>
              </w:rPr>
              <w:t>Se redactó  una Propuesta de Reglamentación y se realizó período de comentarios e información.</w:t>
            </w:r>
          </w:p>
          <w:p w:rsidR="00B54810" w:rsidRDefault="00B54810" w:rsidP="000A39D5">
            <w:pPr>
              <w:pStyle w:val="ListParagraph"/>
              <w:numPr>
                <w:ilvl w:val="0"/>
                <w:numId w:val="12"/>
              </w:numPr>
              <w:spacing w:after="0" w:line="240" w:lineRule="auto"/>
              <w:ind w:left="412"/>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6B28A8">
              <w:rPr>
                <w:rFonts w:asciiTheme="minorHAnsi" w:hAnsiTheme="minorHAnsi"/>
              </w:rPr>
              <w:t>En ella se realizaron sólo los cambios necesarios a las disposiciones del HCS, en particular, definiciones, criterios de peligros físicos y a la salud para sustancias y mezclas y elementos de etiquetado y formatos de las fichas de seguridad</w:t>
            </w:r>
            <w:r>
              <w:rPr>
                <w:rFonts w:asciiTheme="minorHAnsi" w:hAnsiTheme="minorHAnsi"/>
              </w:rPr>
              <w:t>.</w:t>
            </w:r>
          </w:p>
          <w:p w:rsidR="00B54810" w:rsidRPr="006B28A8" w:rsidRDefault="00B54810" w:rsidP="00606EAC">
            <w:pPr>
              <w:pStyle w:val="ListParagraph"/>
              <w:spacing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rPr>
            </w:pPr>
          </w:p>
          <w:p w:rsidR="00B54810" w:rsidRPr="006B28A8" w:rsidRDefault="00B54810" w:rsidP="00606EAC">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u w:val="single"/>
              </w:rPr>
            </w:pPr>
            <w:r w:rsidRPr="006B28A8">
              <w:rPr>
                <w:rFonts w:asciiTheme="minorHAnsi" w:hAnsiTheme="minorHAnsi"/>
                <w:u w:val="single"/>
              </w:rPr>
              <w:t>Sector Industria:</w:t>
            </w:r>
          </w:p>
          <w:p w:rsidR="00B54810" w:rsidRPr="006B28A8" w:rsidRDefault="00B54810" w:rsidP="000A39D5">
            <w:pPr>
              <w:pStyle w:val="ListParagraph"/>
              <w:numPr>
                <w:ilvl w:val="0"/>
                <w:numId w:val="13"/>
              </w:numPr>
              <w:spacing w:after="0" w:line="240" w:lineRule="auto"/>
              <w:ind w:left="412"/>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6B28A8">
              <w:rPr>
                <w:rFonts w:asciiTheme="minorHAnsi" w:hAnsiTheme="minorHAnsi"/>
              </w:rPr>
              <w:t xml:space="preserve">Se publicó la versión revisada del </w:t>
            </w:r>
            <w:r w:rsidRPr="006B28A8">
              <w:rPr>
                <w:rFonts w:asciiTheme="minorHAnsi" w:hAnsiTheme="minorHAnsi"/>
                <w:b/>
              </w:rPr>
              <w:t>HCS (29 CFR 1910, 195 y 1926, 2012).</w:t>
            </w:r>
            <w:r w:rsidRPr="006B28A8">
              <w:rPr>
                <w:rFonts w:asciiTheme="minorHAnsi" w:hAnsiTheme="minorHAnsi"/>
              </w:rPr>
              <w:t xml:space="preserve"> Los empleadores deben capacitar a sus empleados en los nuevos requerimientos del GHS</w:t>
            </w:r>
            <w:r>
              <w:rPr>
                <w:rFonts w:asciiTheme="minorHAnsi" w:hAnsiTheme="minorHAnsi"/>
              </w:rPr>
              <w:t>.</w:t>
            </w:r>
          </w:p>
          <w:p w:rsidR="00B54810" w:rsidRPr="006B28A8" w:rsidRDefault="00B54810" w:rsidP="000A39D5">
            <w:pPr>
              <w:pStyle w:val="ListParagraph"/>
              <w:numPr>
                <w:ilvl w:val="0"/>
                <w:numId w:val="13"/>
              </w:numPr>
              <w:spacing w:after="0" w:line="240" w:lineRule="auto"/>
              <w:ind w:left="412"/>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6B28A8">
              <w:rPr>
                <w:rFonts w:asciiTheme="minorHAnsi" w:hAnsiTheme="minorHAnsi"/>
              </w:rPr>
              <w:t>Período Transición: Hasta 01 Junio 2015 para sustancias y mezclas</w:t>
            </w:r>
            <w:r>
              <w:rPr>
                <w:rFonts w:asciiTheme="minorHAnsi" w:hAnsiTheme="minorHAnsi"/>
              </w:rPr>
              <w:t>.</w:t>
            </w:r>
          </w:p>
          <w:p w:rsidR="00B54810" w:rsidRDefault="00B54810" w:rsidP="000A39D5">
            <w:pPr>
              <w:pStyle w:val="ListParagraph"/>
              <w:numPr>
                <w:ilvl w:val="0"/>
                <w:numId w:val="13"/>
              </w:numPr>
              <w:spacing w:after="0" w:line="240" w:lineRule="auto"/>
              <w:ind w:left="412"/>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6B28A8">
              <w:rPr>
                <w:rFonts w:asciiTheme="minorHAnsi" w:hAnsiTheme="minorHAnsi"/>
              </w:rPr>
              <w:t>Durante período de transición se podrá utilizar la anterior regulación o la revisada.</w:t>
            </w:r>
          </w:p>
          <w:p w:rsidR="00B54810" w:rsidRPr="001C55A0" w:rsidRDefault="00B54810" w:rsidP="00606EAC">
            <w:pPr>
              <w:pStyle w:val="ListParagraph"/>
              <w:spacing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rPr>
            </w:pPr>
          </w:p>
          <w:p w:rsidR="00B54810" w:rsidRPr="006B28A8" w:rsidRDefault="00B54810" w:rsidP="00606EAC">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u w:val="single"/>
              </w:rPr>
            </w:pPr>
            <w:r w:rsidRPr="006B28A8">
              <w:rPr>
                <w:rFonts w:asciiTheme="minorHAnsi" w:hAnsiTheme="minorHAnsi"/>
                <w:u w:val="single"/>
              </w:rPr>
              <w:t>Sector Agricultura:</w:t>
            </w:r>
          </w:p>
          <w:p w:rsidR="00B54810" w:rsidRPr="006B28A8" w:rsidRDefault="00B54810" w:rsidP="000A39D5">
            <w:pPr>
              <w:pStyle w:val="ListParagraph"/>
              <w:numPr>
                <w:ilvl w:val="0"/>
                <w:numId w:val="14"/>
              </w:numPr>
              <w:spacing w:after="0" w:line="240" w:lineRule="auto"/>
              <w:ind w:left="412"/>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6B28A8">
              <w:rPr>
                <w:rFonts w:asciiTheme="minorHAnsi" w:hAnsiTheme="minorHAnsi"/>
              </w:rPr>
              <w:t>EPA es el encargado de la implementación en este sector para lo que fue necesario un análisis regulatorio y económico, en particular, en el caso de pesticidas para determinar las modificaciones a la clasificación existente y al etiquetado</w:t>
            </w:r>
            <w:r>
              <w:rPr>
                <w:rFonts w:asciiTheme="minorHAnsi" w:hAnsiTheme="minorHAnsi"/>
              </w:rPr>
              <w:t>.</w:t>
            </w:r>
          </w:p>
          <w:p w:rsidR="00B54810" w:rsidRDefault="00B54810" w:rsidP="000A39D5">
            <w:pPr>
              <w:pStyle w:val="ListParagraph"/>
              <w:numPr>
                <w:ilvl w:val="0"/>
                <w:numId w:val="14"/>
              </w:numPr>
              <w:spacing w:after="0" w:line="240" w:lineRule="auto"/>
              <w:ind w:left="412"/>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6B28A8">
              <w:rPr>
                <w:rFonts w:asciiTheme="minorHAnsi" w:hAnsiTheme="minorHAnsi"/>
              </w:rPr>
              <w:t>Se aplicaron normas del GHS a pesticidas en el año 2008</w:t>
            </w:r>
            <w:r>
              <w:rPr>
                <w:rFonts w:asciiTheme="minorHAnsi" w:hAnsiTheme="minorHAnsi"/>
              </w:rPr>
              <w:t>.</w:t>
            </w:r>
          </w:p>
          <w:p w:rsidR="00B54810" w:rsidRPr="006B28A8" w:rsidRDefault="00B54810" w:rsidP="00606EAC">
            <w:pPr>
              <w:pStyle w:val="ListParagraph"/>
              <w:spacing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rPr>
            </w:pPr>
          </w:p>
          <w:p w:rsidR="00B54810" w:rsidRPr="006B28A8" w:rsidRDefault="00B54810" w:rsidP="00606EAC">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u w:val="single"/>
              </w:rPr>
            </w:pPr>
            <w:r w:rsidRPr="006B28A8">
              <w:rPr>
                <w:rFonts w:asciiTheme="minorHAnsi" w:hAnsiTheme="minorHAnsi"/>
                <w:u w:val="single"/>
              </w:rPr>
              <w:t>Sector Consumo:</w:t>
            </w:r>
          </w:p>
          <w:p w:rsidR="00B54810" w:rsidRDefault="00B54810" w:rsidP="000A39D5">
            <w:pPr>
              <w:pStyle w:val="ListParagraph"/>
              <w:numPr>
                <w:ilvl w:val="0"/>
                <w:numId w:val="15"/>
              </w:numPr>
              <w:spacing w:after="0" w:line="240" w:lineRule="auto"/>
              <w:ind w:left="412"/>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6B28A8">
              <w:rPr>
                <w:rFonts w:asciiTheme="minorHAnsi" w:hAnsiTheme="minorHAnsi"/>
              </w:rPr>
              <w:t>CPSC es el encargado en este sector. Se está realizando una revisión y comparación del GHS con las regulaciones existentes lo que determinará qué secciones del GHS podrían ser consideradas para la implementación así como el tipo de cambio a nivel regulatorio que deberá realizarse</w:t>
            </w:r>
            <w:r>
              <w:rPr>
                <w:rFonts w:asciiTheme="minorHAnsi" w:hAnsiTheme="minorHAnsi"/>
              </w:rPr>
              <w:t>.</w:t>
            </w:r>
          </w:p>
          <w:p w:rsidR="00B54810" w:rsidRPr="006B28A8" w:rsidRDefault="00B54810" w:rsidP="00606EAC">
            <w:pPr>
              <w:pStyle w:val="ListParagraph"/>
              <w:spacing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B54810" w:rsidRPr="006B28A8" w:rsidTr="00872364">
        <w:tc>
          <w:tcPr>
            <w:cnfStyle w:val="001000000000" w:firstRow="0" w:lastRow="0" w:firstColumn="1" w:lastColumn="0" w:oddVBand="0" w:evenVBand="0" w:oddHBand="0" w:evenHBand="0" w:firstRowFirstColumn="0" w:firstRowLastColumn="0" w:lastRowFirstColumn="0" w:lastRowLastColumn="0"/>
            <w:tcW w:w="0" w:type="auto"/>
          </w:tcPr>
          <w:p w:rsidR="00B54810" w:rsidRPr="006B28A8" w:rsidRDefault="00B54810" w:rsidP="00606EAC">
            <w:pPr>
              <w:spacing w:after="0" w:line="240" w:lineRule="auto"/>
              <w:ind w:right="368"/>
              <w:rPr>
                <w:rFonts w:asciiTheme="minorHAnsi" w:hAnsiTheme="minorHAnsi"/>
              </w:rPr>
            </w:pPr>
            <w:r w:rsidRPr="006B28A8">
              <w:rPr>
                <w:rFonts w:asciiTheme="minorHAnsi" w:hAnsiTheme="minorHAnsi"/>
              </w:rPr>
              <w:t>Resultados</w:t>
            </w:r>
          </w:p>
        </w:tc>
        <w:tc>
          <w:tcPr>
            <w:tcW w:w="0" w:type="auto"/>
          </w:tcPr>
          <w:p w:rsidR="00B54810" w:rsidRPr="006B28A8" w:rsidRDefault="00B54810" w:rsidP="000A39D5">
            <w:pPr>
              <w:pStyle w:val="ListParagraph"/>
              <w:numPr>
                <w:ilvl w:val="0"/>
                <w:numId w:val="11"/>
              </w:numPr>
              <w:spacing w:after="0" w:line="240" w:lineRule="auto"/>
              <w:ind w:left="413"/>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6B28A8">
              <w:rPr>
                <w:rFonts w:asciiTheme="minorHAnsi" w:hAnsiTheme="minorHAnsi"/>
              </w:rPr>
              <w:t>El GHS aún requerirá que los fabricantes e importadores de sustancias químicas evalúen sus productos y entreguen la información de peligro a sus empleados y trabajadores.</w:t>
            </w:r>
          </w:p>
          <w:p w:rsidR="00B54810" w:rsidRPr="006B28A8" w:rsidRDefault="00B54810" w:rsidP="000A39D5">
            <w:pPr>
              <w:pStyle w:val="ListParagraph"/>
              <w:numPr>
                <w:ilvl w:val="0"/>
                <w:numId w:val="11"/>
              </w:numPr>
              <w:spacing w:after="0" w:line="240" w:lineRule="auto"/>
              <w:ind w:left="413"/>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6B28A8">
              <w:rPr>
                <w:rFonts w:asciiTheme="minorHAnsi" w:hAnsiTheme="minorHAnsi"/>
              </w:rPr>
              <w:t>Se mantuvo el grado de protección de la norma anterior</w:t>
            </w:r>
            <w:r>
              <w:rPr>
                <w:rFonts w:asciiTheme="minorHAnsi" w:hAnsiTheme="minorHAnsi"/>
              </w:rPr>
              <w:t>.</w:t>
            </w:r>
          </w:p>
        </w:tc>
      </w:tr>
    </w:tbl>
    <w:p w:rsidR="00872364" w:rsidRDefault="00872364" w:rsidP="00606EAC">
      <w:pPr>
        <w:pStyle w:val="NormalWeb"/>
        <w:shd w:val="clear" w:color="auto" w:fill="FFFFFF"/>
        <w:spacing w:before="0" w:beforeAutospacing="0" w:after="180" w:afterAutospacing="0" w:line="264" w:lineRule="auto"/>
        <w:jc w:val="both"/>
        <w:rPr>
          <w:rFonts w:asciiTheme="minorHAnsi" w:hAnsiTheme="minorHAnsi"/>
          <w:color w:val="000000"/>
          <w:sz w:val="22"/>
          <w:szCs w:val="22"/>
        </w:rPr>
      </w:pPr>
    </w:p>
    <w:p w:rsidR="006F63FE" w:rsidRDefault="00ED5117" w:rsidP="00606EAC">
      <w:pPr>
        <w:pStyle w:val="NormalWeb"/>
        <w:shd w:val="clear" w:color="auto" w:fill="FFFFFF"/>
        <w:spacing w:before="0" w:beforeAutospacing="0" w:after="180" w:afterAutospacing="0" w:line="264" w:lineRule="auto"/>
        <w:jc w:val="both"/>
        <w:rPr>
          <w:rFonts w:asciiTheme="minorHAnsi" w:hAnsiTheme="minorHAnsi"/>
          <w:color w:val="000000"/>
          <w:sz w:val="22"/>
          <w:szCs w:val="22"/>
        </w:rPr>
      </w:pPr>
      <w:r>
        <w:rPr>
          <w:rFonts w:asciiTheme="minorHAnsi" w:hAnsiTheme="minorHAnsi"/>
          <w:color w:val="000000"/>
          <w:sz w:val="22"/>
          <w:szCs w:val="22"/>
        </w:rPr>
        <w:t>En for</w:t>
      </w:r>
      <w:r w:rsidR="00D54647">
        <w:rPr>
          <w:rFonts w:asciiTheme="minorHAnsi" w:hAnsiTheme="minorHAnsi"/>
          <w:color w:val="000000"/>
          <w:sz w:val="22"/>
          <w:szCs w:val="22"/>
        </w:rPr>
        <w:t xml:space="preserve">ma más detallada, </w:t>
      </w:r>
      <w:r w:rsidR="006F63FE" w:rsidRPr="006F63FE">
        <w:rPr>
          <w:rFonts w:asciiTheme="minorHAnsi" w:hAnsiTheme="minorHAnsi"/>
          <w:color w:val="000000"/>
          <w:sz w:val="22"/>
          <w:szCs w:val="22"/>
        </w:rPr>
        <w:t>la implementación del GHS</w:t>
      </w:r>
      <w:r w:rsidR="00D54647">
        <w:rPr>
          <w:rFonts w:asciiTheme="minorHAnsi" w:hAnsiTheme="minorHAnsi"/>
          <w:color w:val="000000"/>
          <w:sz w:val="22"/>
          <w:szCs w:val="22"/>
        </w:rPr>
        <w:t xml:space="preserve"> en Estados Unidos</w:t>
      </w:r>
      <w:r w:rsidR="006F63FE" w:rsidRPr="006F63FE">
        <w:rPr>
          <w:rFonts w:asciiTheme="minorHAnsi" w:hAnsiTheme="minorHAnsi"/>
          <w:color w:val="000000"/>
          <w:sz w:val="22"/>
          <w:szCs w:val="22"/>
        </w:rPr>
        <w:t xml:space="preserve"> se lleva a cabo en paralelo por cuatro Agencias Federales y/o Departamentos de Estado que tienen sus propias regulaciones y que son afectadas por la adopción del GHS. Estas agencias están en varias etapas de planificación e implementación del GHS. A continuación se describen sus responsabilidades específicas y algunos antecedentes relativos a la implementación:</w:t>
      </w:r>
    </w:p>
    <w:p w:rsidR="00CE42E2" w:rsidRPr="00CE42E2" w:rsidRDefault="006F63FE" w:rsidP="00CE42E2">
      <w:pPr>
        <w:pStyle w:val="ListParagraph"/>
        <w:numPr>
          <w:ilvl w:val="0"/>
          <w:numId w:val="81"/>
        </w:numPr>
        <w:autoSpaceDE w:val="0"/>
        <w:autoSpaceDN w:val="0"/>
        <w:jc w:val="both"/>
        <w:rPr>
          <w:sz w:val="22"/>
          <w:szCs w:val="22"/>
        </w:rPr>
      </w:pPr>
      <w:r w:rsidRPr="00CE42E2">
        <w:rPr>
          <w:rStyle w:val="Strong"/>
          <w:color w:val="000000"/>
          <w:sz w:val="22"/>
          <w:szCs w:val="22"/>
          <w:u w:val="single"/>
        </w:rPr>
        <w:t>Agencia de Protección Ambiental (Environmental Protection Agency, EPA</w:t>
      </w:r>
      <w:r w:rsidRPr="00CE42E2">
        <w:rPr>
          <w:rStyle w:val="Strong"/>
          <w:color w:val="000000"/>
          <w:sz w:val="22"/>
          <w:szCs w:val="22"/>
        </w:rPr>
        <w:t xml:space="preserve">): </w:t>
      </w:r>
      <w:r w:rsidRPr="00CE42E2">
        <w:rPr>
          <w:rStyle w:val="Strong"/>
          <w:b w:val="0"/>
          <w:color w:val="000000"/>
          <w:sz w:val="22"/>
          <w:szCs w:val="22"/>
        </w:rPr>
        <w:t>Desde el año 2006 se</w:t>
      </w:r>
      <w:r w:rsidRPr="00CE42E2">
        <w:rPr>
          <w:sz w:val="22"/>
          <w:szCs w:val="22"/>
        </w:rPr>
        <w:t xml:space="preserve"> vigila la implementación del GHS a través de la Oficina de Programas de Pesticidas de la EPA. Conforme a la Ley Federal de Insecticidas, Fungicidas y Rodenticidas, la EPA se encarga de registrar los pesticidas usados en los EE.UU., incluyendo la revisión y aprobación de las etiquetas de los plaguicidas. La EPA dispone de 3 cuerpos legales para regular el uso de pesticidas: </w:t>
      </w:r>
      <w:hyperlink r:id="rId25" w:tgtFrame="_self" w:history="1">
        <w:r w:rsidRPr="00CE42E2">
          <w:rPr>
            <w:sz w:val="22"/>
            <w:szCs w:val="22"/>
          </w:rPr>
          <w:t>Toxic Substances Control Act (TSCA)</w:t>
        </w:r>
      </w:hyperlink>
      <w:r w:rsidRPr="00CE42E2">
        <w:rPr>
          <w:sz w:val="22"/>
          <w:szCs w:val="22"/>
        </w:rPr>
        <w:t xml:space="preserve">, </w:t>
      </w:r>
      <w:hyperlink r:id="rId26" w:tgtFrame="_blank" w:history="1">
        <w:r w:rsidRPr="00CE42E2">
          <w:rPr>
            <w:sz w:val="22"/>
            <w:szCs w:val="22"/>
          </w:rPr>
          <w:t>Federal Insecticide, Fungicide, and Rodenticide Act (FIFRA)</w:t>
        </w:r>
      </w:hyperlink>
      <w:r w:rsidRPr="00CE42E2">
        <w:rPr>
          <w:sz w:val="22"/>
          <w:szCs w:val="22"/>
        </w:rPr>
        <w:t xml:space="preserve"> y </w:t>
      </w:r>
      <w:hyperlink r:id="rId27" w:tgtFrame="_blank" w:history="1">
        <w:r w:rsidRPr="00CE42E2">
          <w:rPr>
            <w:sz w:val="22"/>
            <w:szCs w:val="22"/>
          </w:rPr>
          <w:t>Federal Food, Drug, and Cosmetic Act (FFDCA)</w:t>
        </w:r>
      </w:hyperlink>
      <w:r w:rsidRPr="00CE42E2">
        <w:rPr>
          <w:sz w:val="22"/>
          <w:szCs w:val="22"/>
        </w:rPr>
        <w:t xml:space="preserve">. </w:t>
      </w:r>
      <w:r w:rsidR="00CE42E2" w:rsidRPr="00CE42E2">
        <w:rPr>
          <w:sz w:val="22"/>
          <w:szCs w:val="22"/>
        </w:rPr>
        <w:t>A pesar que esta agencia ha considerado distintas opciones para alinear sus requerimientos con los del GHS durante los años 2006-2007, actualmente no está llevando a cabo actividades con  este fin, por lo que el sistema GHS no ha sido implementado en este sector a la fecha.</w:t>
      </w:r>
    </w:p>
    <w:p w:rsidR="006F63FE" w:rsidRPr="006F63FE" w:rsidRDefault="006F63FE" w:rsidP="000A39D5">
      <w:pPr>
        <w:pStyle w:val="NormalWeb"/>
        <w:numPr>
          <w:ilvl w:val="0"/>
          <w:numId w:val="81"/>
        </w:numPr>
        <w:shd w:val="clear" w:color="auto" w:fill="FFFFFF"/>
        <w:spacing w:before="0" w:beforeAutospacing="0" w:after="180" w:afterAutospacing="0" w:line="264" w:lineRule="auto"/>
        <w:jc w:val="both"/>
        <w:rPr>
          <w:rStyle w:val="apple-converted-space"/>
          <w:rFonts w:asciiTheme="minorHAnsi" w:hAnsiTheme="minorHAnsi"/>
          <w:sz w:val="22"/>
          <w:szCs w:val="22"/>
        </w:rPr>
      </w:pPr>
      <w:r w:rsidRPr="000A39D5">
        <w:rPr>
          <w:rStyle w:val="Strong"/>
          <w:color w:val="000000"/>
          <w:sz w:val="22"/>
          <w:szCs w:val="22"/>
          <w:u w:val="single"/>
        </w:rPr>
        <w:t>Departamento del Trabajo – Administración de Seguridad y Salud en el Trabajo (Occupational Safety and Health Administration, OSHA):</w:t>
      </w:r>
      <w:r w:rsidRPr="006F63FE">
        <w:rPr>
          <w:rStyle w:val="apple-converted-space"/>
          <w:rFonts w:asciiTheme="minorHAnsi" w:hAnsiTheme="minorHAnsi"/>
          <w:color w:val="000000"/>
          <w:sz w:val="22"/>
          <w:szCs w:val="22"/>
        </w:rPr>
        <w:t> la OSHA tiene la responsabilidad principal de la regulación de la clasificación, el etiquetado y las hojas de datos de seguridad requeridas por las sustancias químicas en el lugar de trabajo. El 30 de septiembre de 2009, OSHA publicó una propuesta de reglamentación para alinear su Hazard Communication Standard (HCS) con el GHS. El periodo de consulta pública finalizó el 29 de diciembre de 2009 y las audiencias públicas informales se llevaron a cabo en marzo y abril de 2010. A contar del 01 de junio de 2015, la implementación de la nueva HCS, en regla con las disposiciones del GHS, será obligatoria.</w:t>
      </w:r>
    </w:p>
    <w:p w:rsidR="006F63FE" w:rsidRPr="006F63FE" w:rsidRDefault="006F63FE" w:rsidP="000A39D5">
      <w:pPr>
        <w:pStyle w:val="NormalWeb"/>
        <w:numPr>
          <w:ilvl w:val="0"/>
          <w:numId w:val="81"/>
        </w:numPr>
        <w:shd w:val="clear" w:color="auto" w:fill="FFFFFF"/>
        <w:spacing w:before="0" w:beforeAutospacing="0" w:after="180" w:afterAutospacing="0" w:line="264" w:lineRule="auto"/>
        <w:jc w:val="both"/>
        <w:rPr>
          <w:rFonts w:asciiTheme="minorHAnsi" w:hAnsiTheme="minorHAnsi"/>
          <w:sz w:val="22"/>
          <w:szCs w:val="22"/>
        </w:rPr>
      </w:pPr>
      <w:r w:rsidRPr="000A39D5">
        <w:rPr>
          <w:rStyle w:val="Strong"/>
          <w:color w:val="000000"/>
          <w:sz w:val="22"/>
          <w:szCs w:val="22"/>
          <w:u w:val="single"/>
        </w:rPr>
        <w:t>Departamento de Transporte (Department of Transportation, DOT):</w:t>
      </w:r>
      <w:r w:rsidRPr="006F63FE">
        <w:rPr>
          <w:rStyle w:val="apple-converted-space"/>
          <w:rFonts w:asciiTheme="minorHAnsi" w:hAnsiTheme="minorHAnsi"/>
          <w:b/>
          <w:bCs/>
          <w:color w:val="000000"/>
          <w:sz w:val="22"/>
          <w:szCs w:val="22"/>
        </w:rPr>
        <w:t> </w:t>
      </w:r>
      <w:r w:rsidRPr="006F63FE">
        <w:rPr>
          <w:rFonts w:asciiTheme="minorHAnsi" w:hAnsiTheme="minorHAnsi"/>
          <w:sz w:val="22"/>
          <w:szCs w:val="22"/>
        </w:rPr>
        <w:t>el DOT regula los químicos en el sector transporte. El DOT ha modificado sus regulaciones para incorporar la mayoría de los elementos del GHS que afectan sus programas, incluyendo riesgos físicos y las categorías más severas de toxicidad aguda. El DOT planea implementar cambios relativos a sustancias riesgosas para el medioambiente (toxicidad acuática), alineándose con la adopción de estas modificaciones por parte de la Organización Marítima Internacional. El DOT dispone de regulación específica aplicable al transporte de materiales peligrosos, Titulo 49 del Código Federal de Regulaciones (CFR-49, partes 100-185) que ha sido actualizado para reflejar, con muy pocas excepciones, la 15° edición del modelo de regulaciones de la ONU.</w:t>
      </w:r>
    </w:p>
    <w:p w:rsidR="006F63FE" w:rsidRDefault="006F63FE" w:rsidP="000A39D5">
      <w:pPr>
        <w:pStyle w:val="NormalWeb"/>
        <w:numPr>
          <w:ilvl w:val="0"/>
          <w:numId w:val="81"/>
        </w:numPr>
        <w:shd w:val="clear" w:color="auto" w:fill="FFFFFF"/>
        <w:spacing w:before="0" w:beforeAutospacing="0" w:after="180" w:afterAutospacing="0" w:line="264" w:lineRule="auto"/>
        <w:jc w:val="both"/>
        <w:rPr>
          <w:rStyle w:val="Strong"/>
          <w:b w:val="0"/>
          <w:color w:val="auto"/>
          <w:sz w:val="22"/>
          <w:szCs w:val="22"/>
        </w:rPr>
      </w:pPr>
      <w:r w:rsidRPr="000A39D5">
        <w:rPr>
          <w:rStyle w:val="Strong"/>
          <w:color w:val="000000"/>
          <w:sz w:val="22"/>
          <w:szCs w:val="22"/>
          <w:u w:val="single"/>
        </w:rPr>
        <w:t>Comisión de Seguridad de Productos de Consumo (Consummer Product Safety Commission, CPSC):</w:t>
      </w:r>
      <w:r w:rsidRPr="006F63FE">
        <w:rPr>
          <w:rStyle w:val="Strong"/>
          <w:b w:val="0"/>
          <w:color w:val="000000"/>
          <w:sz w:val="22"/>
          <w:szCs w:val="22"/>
        </w:rPr>
        <w:t xml:space="preserve"> La CPSC tiene jurisdicción sobre más de 15.000 tipos de productos de consumo utilizados en y alrededor de la casa, el deporte, la recreación y las escuelas, incluidos los productos químicos de uso doméstico no pesticidas. Desde 2006 el personal de la CPSC está completando una comparación de las regulaciones y directrices existentes bajo la Consumer Product Safety Act y la Federal Hazardous Substances Act versus el GHS. Este estudio determinará qué secciones del GHS se podrían considerar para implementarlas, así como definir si se requieren cambios legales o reglamentarios para la eventual aplicación, sólo se informó en 2006 de la intención de adoptar el etiquetado basado en riesgos que se indica en el Anexo 5 del GHS. Se desconoce si se realizaron modificaciones a dichas regulaciones.</w:t>
      </w:r>
    </w:p>
    <w:p w:rsidR="006F63FE" w:rsidRPr="006F63FE" w:rsidRDefault="000A39D5" w:rsidP="000A39D5">
      <w:pPr>
        <w:pStyle w:val="NormalWeb"/>
        <w:shd w:val="clear" w:color="auto" w:fill="FFFFFF"/>
        <w:spacing w:before="0" w:beforeAutospacing="0" w:after="180" w:afterAutospacing="0" w:line="264" w:lineRule="auto"/>
        <w:jc w:val="both"/>
        <w:rPr>
          <w:rFonts w:asciiTheme="minorHAnsi" w:hAnsiTheme="minorHAnsi"/>
          <w:sz w:val="22"/>
          <w:szCs w:val="22"/>
        </w:rPr>
      </w:pPr>
      <w:r w:rsidRPr="000A39D5">
        <w:rPr>
          <w:rStyle w:val="Strong"/>
          <w:b w:val="0"/>
          <w:color w:val="000000"/>
          <w:sz w:val="22"/>
          <w:szCs w:val="22"/>
        </w:rPr>
        <w:t>Estas</w:t>
      </w:r>
      <w:r w:rsidRPr="000A39D5">
        <w:rPr>
          <w:rStyle w:val="Strong"/>
          <w:color w:val="000000"/>
          <w:sz w:val="22"/>
          <w:szCs w:val="22"/>
        </w:rPr>
        <w:t xml:space="preserve"> </w:t>
      </w:r>
      <w:r w:rsidR="006F63FE" w:rsidRPr="000A39D5">
        <w:rPr>
          <w:rFonts w:asciiTheme="minorHAnsi" w:hAnsiTheme="minorHAnsi"/>
          <w:color w:val="000000"/>
          <w:sz w:val="22"/>
          <w:szCs w:val="22"/>
        </w:rPr>
        <w:t>cuatro</w:t>
      </w:r>
      <w:r w:rsidR="006F63FE" w:rsidRPr="006F63FE">
        <w:rPr>
          <w:rFonts w:asciiTheme="minorHAnsi" w:hAnsiTheme="minorHAnsi"/>
          <w:color w:val="000000"/>
          <w:sz w:val="22"/>
          <w:szCs w:val="22"/>
        </w:rPr>
        <w:t xml:space="preserve"> agencias centrales (EPA, OSHA, DOT y CPSC) formaron un grupo de trabajo de armonización para coordinar la participación del gobierno de los EE.UU en las actividades y negociaciones asociadas al GHS. El Departamento de Estado también participa del grupo siempre que se deban considerar temas asociados a aspectos internacionales, y un grupo más amplio que involucra otras agencias puede incorporarse cuando temas de potencial relevancia para sus programas están estudiándose.  Además de definir posturas país para reuniones internacionales, el grupo inter</w:t>
      </w:r>
      <w:r w:rsidR="00CE42E2">
        <w:rPr>
          <w:rFonts w:asciiTheme="minorHAnsi" w:hAnsiTheme="minorHAnsi"/>
          <w:color w:val="000000"/>
          <w:sz w:val="22"/>
          <w:szCs w:val="22"/>
        </w:rPr>
        <w:t>-</w:t>
      </w:r>
      <w:r w:rsidR="006F63FE" w:rsidRPr="006F63FE">
        <w:rPr>
          <w:rFonts w:asciiTheme="minorHAnsi" w:hAnsiTheme="minorHAnsi"/>
          <w:color w:val="000000"/>
          <w:sz w:val="22"/>
          <w:szCs w:val="22"/>
        </w:rPr>
        <w:t>agencia proporciona un foro para los integrantes que permite compartir resúmenes o documentos para comentarios, intercambiar información y discutir temas de mutuo interés y preocupación.</w:t>
      </w:r>
    </w:p>
    <w:p w:rsidR="006F63FE" w:rsidRPr="006F63FE" w:rsidRDefault="006F63FE" w:rsidP="00606EAC">
      <w:pPr>
        <w:jc w:val="both"/>
        <w:rPr>
          <w:sz w:val="22"/>
          <w:szCs w:val="22"/>
        </w:rPr>
      </w:pPr>
      <w:r w:rsidRPr="006F63FE">
        <w:rPr>
          <w:sz w:val="22"/>
          <w:szCs w:val="22"/>
        </w:rPr>
        <w:t>De todas las agencias involucradas, la que presenta mayor información es la OSHA. Es así que una vez adoptada la decisión de implementar el GHS, OSHA debió modificar su Hazard Communication Standard (HCS). La razón de tal decisión, se basó en que EE.UU. es uno de los mayores importadores y exportadores de sustancias químicas, por lo cual estandarizar sus etiquetas y hojas de seguridad ayudaría a mejorar la información recibida de otros países. Debido a que diversos requerimientos nacionales e internacionales podrían causar confusión y conflicto, el adoptar el GHS minimizaría estos problemas y los importadores y exportadores de químicos tendrían información consistente para proveer una mejor comunicación global.</w:t>
      </w:r>
    </w:p>
    <w:p w:rsidR="006F63FE" w:rsidRPr="006F63FE" w:rsidRDefault="006F63FE" w:rsidP="00606EAC">
      <w:pPr>
        <w:jc w:val="both"/>
        <w:rPr>
          <w:bCs/>
          <w:sz w:val="22"/>
          <w:szCs w:val="22"/>
        </w:rPr>
      </w:pPr>
      <w:r w:rsidRPr="006F63FE">
        <w:rPr>
          <w:sz w:val="22"/>
          <w:szCs w:val="22"/>
        </w:rPr>
        <w:t>Es así que EE.UU. introdujo cambios en 3 grandes áreas: Clasificación de riesgos, Etiquetado y Hojas de Seguridad.</w:t>
      </w:r>
    </w:p>
    <w:p w:rsidR="006F63FE" w:rsidRPr="006F63FE" w:rsidRDefault="006F63FE" w:rsidP="00D4302C">
      <w:pPr>
        <w:pStyle w:val="ListParagraph"/>
        <w:numPr>
          <w:ilvl w:val="0"/>
          <w:numId w:val="47"/>
        </w:numPr>
        <w:contextualSpacing w:val="0"/>
        <w:jc w:val="both"/>
        <w:rPr>
          <w:rStyle w:val="Strong"/>
          <w:b w:val="0"/>
          <w:bCs/>
          <w:color w:val="auto"/>
          <w:sz w:val="22"/>
          <w:szCs w:val="22"/>
        </w:rPr>
      </w:pPr>
      <w:r w:rsidRPr="006F63FE">
        <w:rPr>
          <w:rStyle w:val="Strong"/>
          <w:bCs/>
          <w:color w:val="auto"/>
          <w:sz w:val="22"/>
          <w:szCs w:val="22"/>
        </w:rPr>
        <w:t>Clasificación de riesgos:</w:t>
      </w:r>
      <w:r w:rsidRPr="006F63FE">
        <w:rPr>
          <w:rStyle w:val="Strong"/>
          <w:b w:val="0"/>
          <w:bCs/>
          <w:color w:val="auto"/>
          <w:sz w:val="22"/>
          <w:szCs w:val="22"/>
        </w:rPr>
        <w:t xml:space="preserve"> Se modificó la definición de riesgo para proporcionar criterios específicos de riesgo a la salud y riesgos físicos, así como clasificación de mezclas. Estos criterios específicos ayudarán a  asegurar que la evaluación de efectos peligrosos es consistente para todos los productores y como resultado que las etiquetas y hojas de seguridad son más exactas.</w:t>
      </w:r>
    </w:p>
    <w:p w:rsidR="006F63FE" w:rsidRPr="006F63FE" w:rsidRDefault="006F63FE" w:rsidP="00D4302C">
      <w:pPr>
        <w:pStyle w:val="ListParagraph"/>
        <w:numPr>
          <w:ilvl w:val="0"/>
          <w:numId w:val="47"/>
        </w:numPr>
        <w:contextualSpacing w:val="0"/>
        <w:jc w:val="both"/>
        <w:rPr>
          <w:rStyle w:val="Strong"/>
          <w:b w:val="0"/>
          <w:bCs/>
          <w:color w:val="auto"/>
          <w:sz w:val="22"/>
          <w:szCs w:val="22"/>
        </w:rPr>
      </w:pPr>
      <w:bookmarkStart w:id="68" w:name="_Toc393660304"/>
      <w:r w:rsidRPr="006F63FE">
        <w:rPr>
          <w:rStyle w:val="Strong"/>
          <w:bCs/>
          <w:color w:val="auto"/>
          <w:sz w:val="22"/>
          <w:szCs w:val="22"/>
        </w:rPr>
        <w:t>Etiquetas</w:t>
      </w:r>
      <w:r w:rsidRPr="006F63FE">
        <w:rPr>
          <w:rStyle w:val="Strong"/>
          <w:b w:val="0"/>
          <w:bCs/>
          <w:color w:val="auto"/>
          <w:sz w:val="22"/>
          <w:szCs w:val="22"/>
        </w:rPr>
        <w:t>: los productores de químicos e importadores deberán proporcionar una etiqueta que incluya una palabra de riesgo armonizada, un pictograma y una declaración para cada clase de riesgo y categoría. También deben proporcionar medidas de precaución.</w:t>
      </w:r>
      <w:bookmarkEnd w:id="68"/>
    </w:p>
    <w:p w:rsidR="006F63FE" w:rsidRPr="006F63FE" w:rsidRDefault="006F63FE" w:rsidP="00D4302C">
      <w:pPr>
        <w:pStyle w:val="ListParagraph"/>
        <w:numPr>
          <w:ilvl w:val="0"/>
          <w:numId w:val="47"/>
        </w:numPr>
        <w:contextualSpacing w:val="0"/>
        <w:rPr>
          <w:rStyle w:val="Strong"/>
          <w:b w:val="0"/>
          <w:bCs/>
          <w:color w:val="auto"/>
          <w:sz w:val="22"/>
          <w:szCs w:val="22"/>
        </w:rPr>
      </w:pPr>
      <w:bookmarkStart w:id="69" w:name="_Toc393660305"/>
      <w:r w:rsidRPr="006F63FE">
        <w:rPr>
          <w:rStyle w:val="Strong"/>
          <w:bCs/>
          <w:color w:val="auto"/>
          <w:sz w:val="22"/>
          <w:szCs w:val="22"/>
        </w:rPr>
        <w:t>Hojas de Datos de Seguridad</w:t>
      </w:r>
      <w:r w:rsidRPr="006F63FE">
        <w:rPr>
          <w:rStyle w:val="Strong"/>
          <w:b w:val="0"/>
          <w:bCs/>
          <w:color w:val="auto"/>
          <w:sz w:val="22"/>
          <w:szCs w:val="22"/>
        </w:rPr>
        <w:t>: Deberán tener un formato de 16 secciones.</w:t>
      </w:r>
      <w:bookmarkEnd w:id="69"/>
    </w:p>
    <w:p w:rsidR="006F63FE" w:rsidRPr="006F63FE" w:rsidRDefault="006F63FE" w:rsidP="00606EAC">
      <w:pPr>
        <w:shd w:val="clear" w:color="auto" w:fill="FFFFFF"/>
        <w:jc w:val="both"/>
        <w:rPr>
          <w:rStyle w:val="Strong"/>
          <w:b w:val="0"/>
          <w:bCs/>
          <w:color w:val="auto"/>
          <w:sz w:val="22"/>
          <w:szCs w:val="22"/>
        </w:rPr>
      </w:pPr>
      <w:r w:rsidRPr="006F63FE">
        <w:rPr>
          <w:rStyle w:val="Strong"/>
          <w:b w:val="0"/>
          <w:bCs/>
          <w:color w:val="auto"/>
          <w:sz w:val="22"/>
          <w:szCs w:val="22"/>
        </w:rPr>
        <w:t>El año 2012 finalizó el p</w:t>
      </w:r>
      <w:r w:rsidR="00CE42E2">
        <w:rPr>
          <w:rStyle w:val="Strong"/>
          <w:b w:val="0"/>
          <w:bCs/>
          <w:color w:val="auto"/>
          <w:sz w:val="22"/>
          <w:szCs w:val="22"/>
        </w:rPr>
        <w:t xml:space="preserve">eríodo de consulta pública y </w:t>
      </w:r>
      <w:r w:rsidRPr="006F63FE">
        <w:rPr>
          <w:rStyle w:val="Strong"/>
          <w:b w:val="0"/>
          <w:bCs/>
          <w:color w:val="auto"/>
          <w:sz w:val="22"/>
          <w:szCs w:val="22"/>
        </w:rPr>
        <w:t>la OSHA emitió la versión final del HCS, que incluye los siguientes cambios respecto a la aplicación del GHS:</w:t>
      </w:r>
    </w:p>
    <w:p w:rsidR="006F63FE" w:rsidRPr="006F63FE" w:rsidRDefault="006F63FE" w:rsidP="00D4302C">
      <w:pPr>
        <w:pStyle w:val="ListParagraph"/>
        <w:numPr>
          <w:ilvl w:val="0"/>
          <w:numId w:val="48"/>
        </w:numPr>
        <w:jc w:val="both"/>
        <w:rPr>
          <w:rStyle w:val="Strong"/>
          <w:b w:val="0"/>
          <w:bCs/>
          <w:color w:val="auto"/>
          <w:sz w:val="22"/>
          <w:szCs w:val="22"/>
        </w:rPr>
      </w:pPr>
      <w:r w:rsidRPr="006F63FE">
        <w:rPr>
          <w:rStyle w:val="Strong"/>
          <w:b w:val="0"/>
          <w:bCs/>
          <w:color w:val="auto"/>
          <w:sz w:val="22"/>
          <w:szCs w:val="22"/>
        </w:rPr>
        <w:t>Criterios específicos para la clasificación de los riesgos químicos.</w:t>
      </w:r>
    </w:p>
    <w:p w:rsidR="006F63FE" w:rsidRPr="006F63FE" w:rsidRDefault="006F63FE" w:rsidP="00D4302C">
      <w:pPr>
        <w:pStyle w:val="ListParagraph"/>
        <w:numPr>
          <w:ilvl w:val="0"/>
          <w:numId w:val="48"/>
        </w:numPr>
        <w:jc w:val="both"/>
        <w:rPr>
          <w:rStyle w:val="Strong"/>
          <w:b w:val="0"/>
          <w:bCs/>
          <w:color w:val="auto"/>
          <w:sz w:val="22"/>
          <w:szCs w:val="22"/>
        </w:rPr>
      </w:pPr>
      <w:r w:rsidRPr="006F63FE">
        <w:rPr>
          <w:rStyle w:val="Strong"/>
          <w:b w:val="0"/>
          <w:bCs/>
          <w:color w:val="auto"/>
          <w:sz w:val="22"/>
          <w:szCs w:val="22"/>
        </w:rPr>
        <w:t>Requisitos de etiquetado, como palabra de advertencia, pictograma, indicaciones de peligro y las declaraciones de precaución.</w:t>
      </w:r>
    </w:p>
    <w:p w:rsidR="006F63FE" w:rsidRPr="006F63FE" w:rsidRDefault="006F63FE" w:rsidP="00D4302C">
      <w:pPr>
        <w:pStyle w:val="ListParagraph"/>
        <w:numPr>
          <w:ilvl w:val="0"/>
          <w:numId w:val="48"/>
        </w:numPr>
        <w:jc w:val="both"/>
        <w:rPr>
          <w:rStyle w:val="Strong"/>
          <w:b w:val="0"/>
          <w:bCs/>
          <w:color w:val="auto"/>
          <w:sz w:val="22"/>
          <w:szCs w:val="22"/>
        </w:rPr>
      </w:pPr>
      <w:r w:rsidRPr="006F63FE">
        <w:rPr>
          <w:rStyle w:val="Strong"/>
          <w:b w:val="0"/>
          <w:bCs/>
          <w:color w:val="auto"/>
          <w:sz w:val="22"/>
          <w:szCs w:val="22"/>
        </w:rPr>
        <w:t>Formato específico de fichas de datos de seguridad.</w:t>
      </w:r>
    </w:p>
    <w:p w:rsidR="006F63FE" w:rsidRPr="006F63FE" w:rsidRDefault="006F63FE" w:rsidP="00D4302C">
      <w:pPr>
        <w:pStyle w:val="ListParagraph"/>
        <w:numPr>
          <w:ilvl w:val="0"/>
          <w:numId w:val="48"/>
        </w:numPr>
        <w:jc w:val="both"/>
        <w:rPr>
          <w:rStyle w:val="Strong"/>
          <w:b w:val="0"/>
          <w:bCs/>
          <w:color w:val="auto"/>
          <w:sz w:val="22"/>
          <w:szCs w:val="22"/>
        </w:rPr>
      </w:pPr>
      <w:r w:rsidRPr="006F63FE">
        <w:rPr>
          <w:rStyle w:val="Strong"/>
          <w:b w:val="0"/>
          <w:bCs/>
          <w:color w:val="auto"/>
          <w:sz w:val="22"/>
          <w:szCs w:val="22"/>
        </w:rPr>
        <w:t>Requisitos de formación para los empleados respecto a la información contenida en las etiquetas y hojas de datos de seguridad</w:t>
      </w:r>
    </w:p>
    <w:p w:rsidR="006F63FE" w:rsidRPr="006F63FE" w:rsidRDefault="006F63FE" w:rsidP="00D4302C">
      <w:pPr>
        <w:pStyle w:val="ListParagraph"/>
        <w:numPr>
          <w:ilvl w:val="0"/>
          <w:numId w:val="48"/>
        </w:numPr>
        <w:jc w:val="both"/>
        <w:rPr>
          <w:rStyle w:val="Strong"/>
          <w:b w:val="0"/>
          <w:bCs/>
          <w:color w:val="auto"/>
          <w:sz w:val="22"/>
          <w:szCs w:val="22"/>
        </w:rPr>
      </w:pPr>
      <w:r w:rsidRPr="006F63FE">
        <w:rPr>
          <w:rStyle w:val="Strong"/>
          <w:b w:val="0"/>
          <w:bCs/>
          <w:color w:val="auto"/>
          <w:sz w:val="22"/>
          <w:szCs w:val="22"/>
        </w:rPr>
        <w:t>Algunas modificaciones terminológicas.</w:t>
      </w:r>
    </w:p>
    <w:p w:rsidR="006D0FB7" w:rsidRPr="00CE42E2" w:rsidRDefault="006F63FE" w:rsidP="00606EAC">
      <w:pPr>
        <w:rPr>
          <w:rStyle w:val="Strong"/>
          <w:bCs/>
          <w:color w:val="auto"/>
          <w:sz w:val="22"/>
          <w:szCs w:val="22"/>
        </w:rPr>
      </w:pPr>
      <w:bookmarkStart w:id="70" w:name="_Toc393660306"/>
      <w:r w:rsidRPr="00CE42E2">
        <w:rPr>
          <w:sz w:val="22"/>
          <w:szCs w:val="22"/>
        </w:rPr>
        <w:t>La Tabla que sigue a continuación resume los plazos establecidos para el cumplimiento de las modificaciones en el Hazard Communication Standard (HCS) de la OSHA</w:t>
      </w:r>
      <w:r w:rsidRPr="00CE42E2">
        <w:rPr>
          <w:rStyle w:val="Strong"/>
          <w:bCs/>
          <w:color w:val="auto"/>
          <w:sz w:val="22"/>
          <w:szCs w:val="22"/>
        </w:rPr>
        <w:t>.</w:t>
      </w:r>
      <w:bookmarkEnd w:id="70"/>
    </w:p>
    <w:p w:rsidR="006F63FE" w:rsidRPr="00872364" w:rsidRDefault="006F63FE" w:rsidP="0094590E">
      <w:pPr>
        <w:contextualSpacing/>
        <w:jc w:val="center"/>
        <w:rPr>
          <w:b/>
          <w:sz w:val="22"/>
          <w:szCs w:val="22"/>
        </w:rPr>
      </w:pPr>
      <w:r w:rsidRPr="00872364">
        <w:rPr>
          <w:b/>
          <w:sz w:val="22"/>
          <w:szCs w:val="22"/>
        </w:rPr>
        <w:t xml:space="preserve">Tabla </w:t>
      </w:r>
      <w:r w:rsidR="00872364" w:rsidRPr="00872364">
        <w:rPr>
          <w:b/>
          <w:sz w:val="22"/>
          <w:szCs w:val="22"/>
        </w:rPr>
        <w:t>5</w:t>
      </w:r>
      <w:r w:rsidRPr="00872364">
        <w:rPr>
          <w:b/>
          <w:sz w:val="22"/>
          <w:szCs w:val="22"/>
        </w:rPr>
        <w:t>. Línea de tiempo respecto a la implementación del GHS en EE.UU.</w:t>
      </w:r>
    </w:p>
    <w:tbl>
      <w:tblPr>
        <w:tblStyle w:val="Tabladelista3-nfasis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6"/>
        <w:gridCol w:w="4556"/>
        <w:gridCol w:w="1721"/>
      </w:tblGrid>
      <w:tr w:rsidR="006F63FE" w:rsidRPr="006F63FE" w:rsidTr="0094590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67" w:type="pct"/>
            <w:tcBorders>
              <w:bottom w:val="none" w:sz="0" w:space="0" w:color="auto"/>
              <w:right w:val="none" w:sz="0" w:space="0" w:color="auto"/>
            </w:tcBorders>
            <w:noWrap/>
            <w:vAlign w:val="center"/>
            <w:hideMark/>
          </w:tcPr>
          <w:p w:rsidR="006F63FE" w:rsidRPr="006F63FE" w:rsidRDefault="006F63FE" w:rsidP="00606EAC">
            <w:pPr>
              <w:contextualSpacing/>
              <w:jc w:val="center"/>
              <w:rPr>
                <w:color w:val="FFFFFF"/>
                <w:sz w:val="22"/>
                <w:szCs w:val="22"/>
              </w:rPr>
            </w:pPr>
            <w:r w:rsidRPr="006F63FE">
              <w:rPr>
                <w:color w:val="FFFFFF"/>
                <w:sz w:val="22"/>
                <w:szCs w:val="22"/>
              </w:rPr>
              <w:t>Fecha de Cumplimiento Efectivo</w:t>
            </w:r>
          </w:p>
        </w:tc>
        <w:tc>
          <w:tcPr>
            <w:tcW w:w="2589" w:type="pct"/>
            <w:vAlign w:val="center"/>
            <w:hideMark/>
          </w:tcPr>
          <w:p w:rsidR="006F63FE" w:rsidRPr="006F63FE" w:rsidRDefault="006F63FE" w:rsidP="00606EAC">
            <w:pPr>
              <w:contextualSpacing/>
              <w:jc w:val="center"/>
              <w:cnfStyle w:val="100000000000" w:firstRow="1" w:lastRow="0" w:firstColumn="0" w:lastColumn="0" w:oddVBand="0" w:evenVBand="0" w:oddHBand="0" w:evenHBand="0" w:firstRowFirstColumn="0" w:firstRowLastColumn="0" w:lastRowFirstColumn="0" w:lastRowLastColumn="0"/>
              <w:rPr>
                <w:color w:val="FFFFFF"/>
                <w:sz w:val="22"/>
                <w:szCs w:val="22"/>
              </w:rPr>
            </w:pPr>
            <w:r w:rsidRPr="006F63FE">
              <w:rPr>
                <w:color w:val="FFFFFF"/>
                <w:sz w:val="22"/>
                <w:szCs w:val="22"/>
              </w:rPr>
              <w:t>Requerimiento(s)</w:t>
            </w:r>
          </w:p>
        </w:tc>
        <w:tc>
          <w:tcPr>
            <w:tcW w:w="944" w:type="pct"/>
            <w:vAlign w:val="center"/>
            <w:hideMark/>
          </w:tcPr>
          <w:p w:rsidR="006F63FE" w:rsidRPr="006F63FE" w:rsidRDefault="006F63FE" w:rsidP="00606EAC">
            <w:pPr>
              <w:contextualSpacing/>
              <w:jc w:val="center"/>
              <w:cnfStyle w:val="100000000000" w:firstRow="1" w:lastRow="0" w:firstColumn="0" w:lastColumn="0" w:oddVBand="0" w:evenVBand="0" w:oddHBand="0" w:evenHBand="0" w:firstRowFirstColumn="0" w:firstRowLastColumn="0" w:lastRowFirstColumn="0" w:lastRowLastColumn="0"/>
              <w:rPr>
                <w:color w:val="FFFFFF"/>
                <w:sz w:val="22"/>
                <w:szCs w:val="22"/>
              </w:rPr>
            </w:pPr>
            <w:r w:rsidRPr="006F63FE">
              <w:rPr>
                <w:color w:val="FFFFFF"/>
                <w:sz w:val="22"/>
                <w:szCs w:val="22"/>
              </w:rPr>
              <w:t>Quién</w:t>
            </w:r>
          </w:p>
        </w:tc>
      </w:tr>
      <w:tr w:rsidR="006F63FE" w:rsidRPr="006F63FE" w:rsidTr="0094590E">
        <w:trPr>
          <w:cnfStyle w:val="000000100000" w:firstRow="0" w:lastRow="0" w:firstColumn="0" w:lastColumn="0" w:oddVBand="0" w:evenVBand="0" w:oddHBand="1" w:evenHBand="0" w:firstRowFirstColumn="0" w:firstRowLastColumn="0" w:lastRowFirstColumn="0" w:lastRowLastColumn="0"/>
          <w:trHeight w:val="592"/>
        </w:trPr>
        <w:tc>
          <w:tcPr>
            <w:cnfStyle w:val="001000000000" w:firstRow="0" w:lastRow="0" w:firstColumn="1" w:lastColumn="0" w:oddVBand="0" w:evenVBand="0" w:oddHBand="0" w:evenHBand="0" w:firstRowFirstColumn="0" w:firstRowLastColumn="0" w:lastRowFirstColumn="0" w:lastRowLastColumn="0"/>
            <w:tcW w:w="1467" w:type="pct"/>
            <w:tcBorders>
              <w:top w:val="none" w:sz="0" w:space="0" w:color="auto"/>
              <w:bottom w:val="none" w:sz="0" w:space="0" w:color="auto"/>
              <w:right w:val="none" w:sz="0" w:space="0" w:color="auto"/>
            </w:tcBorders>
            <w:vAlign w:val="center"/>
          </w:tcPr>
          <w:p w:rsidR="006F63FE" w:rsidRPr="006F63FE" w:rsidRDefault="006F63FE" w:rsidP="00606EAC">
            <w:pPr>
              <w:contextualSpacing/>
              <w:rPr>
                <w:sz w:val="22"/>
                <w:szCs w:val="22"/>
              </w:rPr>
            </w:pPr>
            <w:r w:rsidRPr="006F63FE">
              <w:rPr>
                <w:sz w:val="22"/>
                <w:szCs w:val="22"/>
              </w:rPr>
              <w:t>30 de septiembre a 29 de diciembre de 2009</w:t>
            </w:r>
          </w:p>
        </w:tc>
        <w:tc>
          <w:tcPr>
            <w:tcW w:w="2589" w:type="pct"/>
            <w:tcBorders>
              <w:top w:val="none" w:sz="0" w:space="0" w:color="auto"/>
              <w:bottom w:val="none" w:sz="0" w:space="0" w:color="auto"/>
            </w:tcBorders>
            <w:vAlign w:val="center"/>
          </w:tcPr>
          <w:p w:rsidR="006F63FE" w:rsidRPr="006F63FE" w:rsidRDefault="006831E0" w:rsidP="00606EAC">
            <w:pPr>
              <w:contextualSpacing/>
              <w:cnfStyle w:val="000000100000" w:firstRow="0" w:lastRow="0" w:firstColumn="0" w:lastColumn="0" w:oddVBand="0" w:evenVBand="0" w:oddHBand="1" w:evenHBand="0" w:firstRowFirstColumn="0" w:firstRowLastColumn="0" w:lastRowFirstColumn="0" w:lastRowLastColumn="0"/>
              <w:rPr>
                <w:sz w:val="22"/>
                <w:szCs w:val="22"/>
                <w:lang w:val="en-US"/>
              </w:rPr>
            </w:pPr>
            <w:r>
              <w:rPr>
                <w:sz w:val="22"/>
                <w:szCs w:val="22"/>
                <w:lang w:val="en-US"/>
              </w:rPr>
              <w:t>OSHA publí</w:t>
            </w:r>
            <w:r w:rsidR="006F63FE" w:rsidRPr="006F63FE">
              <w:rPr>
                <w:sz w:val="22"/>
                <w:szCs w:val="22"/>
                <w:lang w:val="en-US"/>
              </w:rPr>
              <w:t xml:space="preserve">ca la “Notice of Proposed Rulemaking” (NPRM) para alinear su Hazard Communication Standard (HCS) con el GHS. </w:t>
            </w:r>
          </w:p>
        </w:tc>
        <w:tc>
          <w:tcPr>
            <w:tcW w:w="944" w:type="pct"/>
            <w:tcBorders>
              <w:top w:val="none" w:sz="0" w:space="0" w:color="auto"/>
              <w:bottom w:val="none" w:sz="0" w:space="0" w:color="auto"/>
            </w:tcBorders>
            <w:vAlign w:val="center"/>
          </w:tcPr>
          <w:p w:rsidR="006F63FE" w:rsidRPr="006F63FE" w:rsidRDefault="006F63FE" w:rsidP="00606EAC">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6F63FE">
              <w:rPr>
                <w:sz w:val="22"/>
                <w:szCs w:val="22"/>
              </w:rPr>
              <w:t>Público en general</w:t>
            </w:r>
          </w:p>
        </w:tc>
      </w:tr>
      <w:tr w:rsidR="006F63FE" w:rsidRPr="006F63FE" w:rsidTr="0094590E">
        <w:trPr>
          <w:trHeight w:val="416"/>
        </w:trPr>
        <w:tc>
          <w:tcPr>
            <w:cnfStyle w:val="001000000000" w:firstRow="0" w:lastRow="0" w:firstColumn="1" w:lastColumn="0" w:oddVBand="0" w:evenVBand="0" w:oddHBand="0" w:evenHBand="0" w:firstRowFirstColumn="0" w:firstRowLastColumn="0" w:lastRowFirstColumn="0" w:lastRowLastColumn="0"/>
            <w:tcW w:w="1467" w:type="pct"/>
            <w:tcBorders>
              <w:right w:val="none" w:sz="0" w:space="0" w:color="auto"/>
            </w:tcBorders>
            <w:vAlign w:val="center"/>
          </w:tcPr>
          <w:p w:rsidR="006F63FE" w:rsidRPr="006F63FE" w:rsidRDefault="006F63FE" w:rsidP="00606EAC">
            <w:pPr>
              <w:contextualSpacing/>
              <w:rPr>
                <w:sz w:val="22"/>
                <w:szCs w:val="22"/>
              </w:rPr>
            </w:pPr>
            <w:r w:rsidRPr="006F63FE">
              <w:rPr>
                <w:sz w:val="22"/>
                <w:szCs w:val="22"/>
              </w:rPr>
              <w:t>Marzo y Abril de 2010</w:t>
            </w:r>
          </w:p>
        </w:tc>
        <w:tc>
          <w:tcPr>
            <w:tcW w:w="2589" w:type="pct"/>
            <w:vAlign w:val="center"/>
          </w:tcPr>
          <w:p w:rsidR="006F63FE" w:rsidRPr="006F63FE" w:rsidRDefault="006F63FE" w:rsidP="00606EAC">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6F63FE">
              <w:rPr>
                <w:sz w:val="22"/>
                <w:szCs w:val="22"/>
              </w:rPr>
              <w:t>Período de consultas públicas sobre la propuesta de normativa.</w:t>
            </w:r>
          </w:p>
        </w:tc>
        <w:tc>
          <w:tcPr>
            <w:tcW w:w="944" w:type="pct"/>
            <w:vAlign w:val="center"/>
          </w:tcPr>
          <w:p w:rsidR="006F63FE" w:rsidRPr="006F63FE" w:rsidRDefault="006F63FE" w:rsidP="00606EAC">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6F63FE">
              <w:rPr>
                <w:sz w:val="22"/>
                <w:szCs w:val="22"/>
              </w:rPr>
              <w:t>Público en general</w:t>
            </w:r>
          </w:p>
        </w:tc>
      </w:tr>
      <w:tr w:rsidR="006F63FE" w:rsidRPr="006F63FE" w:rsidTr="0094590E">
        <w:trPr>
          <w:cnfStyle w:val="000000100000" w:firstRow="0" w:lastRow="0" w:firstColumn="0" w:lastColumn="0" w:oddVBand="0" w:evenVBand="0" w:oddHBand="1" w:evenHBand="0" w:firstRowFirstColumn="0" w:firstRowLastColumn="0" w:lastRowFirstColumn="0" w:lastRowLastColumn="0"/>
          <w:trHeight w:val="556"/>
        </w:trPr>
        <w:tc>
          <w:tcPr>
            <w:cnfStyle w:val="001000000000" w:firstRow="0" w:lastRow="0" w:firstColumn="1" w:lastColumn="0" w:oddVBand="0" w:evenVBand="0" w:oddHBand="0" w:evenHBand="0" w:firstRowFirstColumn="0" w:firstRowLastColumn="0" w:lastRowFirstColumn="0" w:lastRowLastColumn="0"/>
            <w:tcW w:w="1467" w:type="pct"/>
            <w:tcBorders>
              <w:top w:val="none" w:sz="0" w:space="0" w:color="auto"/>
              <w:bottom w:val="none" w:sz="0" w:space="0" w:color="auto"/>
              <w:right w:val="none" w:sz="0" w:space="0" w:color="auto"/>
            </w:tcBorders>
            <w:vAlign w:val="center"/>
          </w:tcPr>
          <w:p w:rsidR="006F63FE" w:rsidRPr="006F63FE" w:rsidRDefault="006F63FE" w:rsidP="00606EAC">
            <w:pPr>
              <w:contextualSpacing/>
              <w:rPr>
                <w:sz w:val="22"/>
                <w:szCs w:val="22"/>
              </w:rPr>
            </w:pPr>
            <w:r w:rsidRPr="006F63FE">
              <w:rPr>
                <w:sz w:val="22"/>
                <w:szCs w:val="22"/>
              </w:rPr>
              <w:t>26 de Marzo de 2012</w:t>
            </w:r>
          </w:p>
        </w:tc>
        <w:tc>
          <w:tcPr>
            <w:tcW w:w="2589" w:type="pct"/>
            <w:tcBorders>
              <w:top w:val="none" w:sz="0" w:space="0" w:color="auto"/>
              <w:bottom w:val="none" w:sz="0" w:space="0" w:color="auto"/>
            </w:tcBorders>
            <w:vAlign w:val="center"/>
          </w:tcPr>
          <w:p w:rsidR="006F63FE" w:rsidRPr="006F63FE" w:rsidRDefault="006F63FE" w:rsidP="00606EAC">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6F63FE">
              <w:rPr>
                <w:sz w:val="22"/>
                <w:szCs w:val="22"/>
              </w:rPr>
              <w:t>Se publica la versión revisada del Hazard Communication Standard</w:t>
            </w:r>
            <w:r w:rsidRPr="006F63FE">
              <w:rPr>
                <w:rFonts w:eastAsia="MS Gothic" w:cs="MS Gothic"/>
                <w:sz w:val="22"/>
                <w:szCs w:val="22"/>
              </w:rPr>
              <w:t>（</w:t>
            </w:r>
            <w:r w:rsidRPr="006F63FE">
              <w:rPr>
                <w:sz w:val="22"/>
                <w:szCs w:val="22"/>
              </w:rPr>
              <w:t>HCS-2012</w:t>
            </w:r>
            <w:r w:rsidRPr="006F63FE">
              <w:rPr>
                <w:rFonts w:eastAsia="MS Gothic" w:cs="MS Gothic"/>
                <w:sz w:val="22"/>
                <w:szCs w:val="22"/>
              </w:rPr>
              <w:t>)</w:t>
            </w:r>
          </w:p>
        </w:tc>
        <w:tc>
          <w:tcPr>
            <w:tcW w:w="944" w:type="pct"/>
            <w:tcBorders>
              <w:top w:val="none" w:sz="0" w:space="0" w:color="auto"/>
              <w:bottom w:val="none" w:sz="0" w:space="0" w:color="auto"/>
            </w:tcBorders>
            <w:vAlign w:val="center"/>
          </w:tcPr>
          <w:p w:rsidR="006F63FE" w:rsidRPr="006F63FE" w:rsidRDefault="006F63FE" w:rsidP="00606EAC">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6F63FE">
              <w:rPr>
                <w:sz w:val="22"/>
                <w:szCs w:val="22"/>
              </w:rPr>
              <w:t>OSHA</w:t>
            </w:r>
          </w:p>
        </w:tc>
      </w:tr>
      <w:tr w:rsidR="006F63FE" w:rsidRPr="006F63FE" w:rsidTr="0094590E">
        <w:trPr>
          <w:trHeight w:val="765"/>
        </w:trPr>
        <w:tc>
          <w:tcPr>
            <w:cnfStyle w:val="001000000000" w:firstRow="0" w:lastRow="0" w:firstColumn="1" w:lastColumn="0" w:oddVBand="0" w:evenVBand="0" w:oddHBand="0" w:evenHBand="0" w:firstRowFirstColumn="0" w:firstRowLastColumn="0" w:lastRowFirstColumn="0" w:lastRowLastColumn="0"/>
            <w:tcW w:w="1467" w:type="pct"/>
            <w:tcBorders>
              <w:right w:val="none" w:sz="0" w:space="0" w:color="auto"/>
            </w:tcBorders>
            <w:vAlign w:val="center"/>
          </w:tcPr>
          <w:p w:rsidR="006F63FE" w:rsidRPr="006F63FE" w:rsidRDefault="006F63FE" w:rsidP="00606EAC">
            <w:pPr>
              <w:contextualSpacing/>
              <w:rPr>
                <w:sz w:val="22"/>
                <w:szCs w:val="22"/>
              </w:rPr>
            </w:pPr>
            <w:r w:rsidRPr="006F63FE">
              <w:rPr>
                <w:sz w:val="22"/>
                <w:szCs w:val="22"/>
              </w:rPr>
              <w:t>25 de mayo de 2012</w:t>
            </w:r>
          </w:p>
        </w:tc>
        <w:tc>
          <w:tcPr>
            <w:tcW w:w="2589" w:type="pct"/>
            <w:vAlign w:val="center"/>
          </w:tcPr>
          <w:p w:rsidR="006F63FE" w:rsidRPr="006F63FE" w:rsidRDefault="006F63FE" w:rsidP="00606EAC">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6F63FE">
              <w:rPr>
                <w:sz w:val="22"/>
                <w:szCs w:val="22"/>
              </w:rPr>
              <w:t>Se inicia la vigencia de la HCS-2012 lo que marca la incorporación por parte de EE.UU. de las recomendaciones del GHS respecto a etiquetado y Hojas de Datos de Seguridad (HDS).</w:t>
            </w:r>
          </w:p>
        </w:tc>
        <w:tc>
          <w:tcPr>
            <w:tcW w:w="944" w:type="pct"/>
            <w:vAlign w:val="center"/>
          </w:tcPr>
          <w:p w:rsidR="006F63FE" w:rsidRPr="006F63FE" w:rsidRDefault="006F63FE" w:rsidP="00606EAC">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6F63FE">
              <w:rPr>
                <w:sz w:val="22"/>
                <w:szCs w:val="22"/>
              </w:rPr>
              <w:t>Nacional</w:t>
            </w:r>
          </w:p>
        </w:tc>
      </w:tr>
      <w:tr w:rsidR="006F63FE" w:rsidRPr="006F63FE" w:rsidTr="0094590E">
        <w:trPr>
          <w:cnfStyle w:val="000000100000" w:firstRow="0" w:lastRow="0" w:firstColumn="0" w:lastColumn="0" w:oddVBand="0" w:evenVBand="0" w:oddHBand="1"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467" w:type="pct"/>
            <w:tcBorders>
              <w:top w:val="none" w:sz="0" w:space="0" w:color="auto"/>
              <w:bottom w:val="none" w:sz="0" w:space="0" w:color="auto"/>
              <w:right w:val="none" w:sz="0" w:space="0" w:color="auto"/>
            </w:tcBorders>
            <w:vAlign w:val="center"/>
            <w:hideMark/>
          </w:tcPr>
          <w:p w:rsidR="006F63FE" w:rsidRPr="006F63FE" w:rsidRDefault="006F63FE" w:rsidP="00606EAC">
            <w:pPr>
              <w:contextualSpacing/>
              <w:rPr>
                <w:sz w:val="22"/>
                <w:szCs w:val="22"/>
              </w:rPr>
            </w:pPr>
            <w:r w:rsidRPr="006F63FE">
              <w:rPr>
                <w:sz w:val="22"/>
                <w:szCs w:val="22"/>
              </w:rPr>
              <w:t>01 de Diciembre de 2013</w:t>
            </w:r>
          </w:p>
        </w:tc>
        <w:tc>
          <w:tcPr>
            <w:tcW w:w="2589" w:type="pct"/>
            <w:tcBorders>
              <w:top w:val="none" w:sz="0" w:space="0" w:color="auto"/>
              <w:bottom w:val="none" w:sz="0" w:space="0" w:color="auto"/>
            </w:tcBorders>
            <w:vAlign w:val="center"/>
            <w:hideMark/>
          </w:tcPr>
          <w:p w:rsidR="006F63FE" w:rsidRPr="006F63FE" w:rsidRDefault="006F63FE" w:rsidP="00606EAC">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6F63FE">
              <w:rPr>
                <w:sz w:val="22"/>
                <w:szCs w:val="22"/>
              </w:rPr>
              <w:t>Entrenar a empleados en los nuevos formatos de etiquetado y hojas de datos de seguridad</w:t>
            </w:r>
          </w:p>
        </w:tc>
        <w:tc>
          <w:tcPr>
            <w:tcW w:w="944" w:type="pct"/>
            <w:tcBorders>
              <w:top w:val="none" w:sz="0" w:space="0" w:color="auto"/>
              <w:bottom w:val="none" w:sz="0" w:space="0" w:color="auto"/>
            </w:tcBorders>
            <w:vAlign w:val="center"/>
            <w:hideMark/>
          </w:tcPr>
          <w:p w:rsidR="006F63FE" w:rsidRPr="006F63FE" w:rsidRDefault="006F63FE" w:rsidP="00606EAC">
            <w:pPr>
              <w:contextualSpacing/>
              <w:jc w:val="center"/>
              <w:cnfStyle w:val="000000100000" w:firstRow="0" w:lastRow="0" w:firstColumn="0" w:lastColumn="0" w:oddVBand="0" w:evenVBand="0" w:oddHBand="1" w:evenHBand="0" w:firstRowFirstColumn="0" w:firstRowLastColumn="0" w:lastRowFirstColumn="0" w:lastRowLastColumn="0"/>
              <w:rPr>
                <w:sz w:val="22"/>
                <w:szCs w:val="22"/>
              </w:rPr>
            </w:pPr>
            <w:r w:rsidRPr="006F63FE">
              <w:rPr>
                <w:sz w:val="22"/>
                <w:szCs w:val="22"/>
              </w:rPr>
              <w:t>Trabajadores</w:t>
            </w:r>
          </w:p>
        </w:tc>
      </w:tr>
      <w:tr w:rsidR="006F63FE" w:rsidRPr="006F63FE" w:rsidTr="0094590E">
        <w:trPr>
          <w:trHeight w:val="1605"/>
        </w:trPr>
        <w:tc>
          <w:tcPr>
            <w:cnfStyle w:val="001000000000" w:firstRow="0" w:lastRow="0" w:firstColumn="1" w:lastColumn="0" w:oddVBand="0" w:evenVBand="0" w:oddHBand="0" w:evenHBand="0" w:firstRowFirstColumn="0" w:firstRowLastColumn="0" w:lastRowFirstColumn="0" w:lastRowLastColumn="0"/>
            <w:tcW w:w="1467" w:type="pct"/>
            <w:tcBorders>
              <w:right w:val="none" w:sz="0" w:space="0" w:color="auto"/>
            </w:tcBorders>
            <w:vAlign w:val="center"/>
            <w:hideMark/>
          </w:tcPr>
          <w:p w:rsidR="006F63FE" w:rsidRPr="006F63FE" w:rsidRDefault="006F63FE" w:rsidP="00606EAC">
            <w:pPr>
              <w:contextualSpacing/>
              <w:rPr>
                <w:sz w:val="22"/>
                <w:szCs w:val="22"/>
              </w:rPr>
            </w:pPr>
            <w:r w:rsidRPr="006F63FE">
              <w:rPr>
                <w:sz w:val="22"/>
                <w:szCs w:val="22"/>
              </w:rPr>
              <w:t>01 de Junio de 2015*</w:t>
            </w:r>
            <w:r w:rsidRPr="006F63FE">
              <w:rPr>
                <w:sz w:val="22"/>
                <w:szCs w:val="22"/>
              </w:rPr>
              <w:br/>
            </w:r>
            <w:r w:rsidRPr="006F63FE">
              <w:rPr>
                <w:sz w:val="22"/>
                <w:szCs w:val="22"/>
              </w:rPr>
              <w:br/>
            </w:r>
            <w:r w:rsidRPr="006F63FE">
              <w:rPr>
                <w:sz w:val="22"/>
                <w:szCs w:val="22"/>
              </w:rPr>
              <w:br/>
              <w:t>01 de Diciembre de 2015</w:t>
            </w:r>
          </w:p>
        </w:tc>
        <w:tc>
          <w:tcPr>
            <w:tcW w:w="2589" w:type="pct"/>
            <w:vAlign w:val="center"/>
            <w:hideMark/>
          </w:tcPr>
          <w:p w:rsidR="006F63FE" w:rsidRPr="006F63FE" w:rsidRDefault="006F63FE" w:rsidP="00606EAC">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6F63FE">
              <w:rPr>
                <w:sz w:val="22"/>
                <w:szCs w:val="22"/>
              </w:rPr>
              <w:t>Cumplimiento de todas las provisiones modificadas de esta regulación, excepto:</w:t>
            </w:r>
            <w:r w:rsidRPr="006F63FE">
              <w:rPr>
                <w:sz w:val="22"/>
                <w:szCs w:val="22"/>
              </w:rPr>
              <w:br/>
            </w:r>
            <w:r w:rsidRPr="006F63FE">
              <w:rPr>
                <w:sz w:val="22"/>
                <w:szCs w:val="22"/>
              </w:rPr>
              <w:br/>
              <w:t>Los distribuidores no deberán embarcar contenedores etiquetados por el productor o importador salvo que tenga una etiqueta que cumpla con el GHS</w:t>
            </w:r>
          </w:p>
        </w:tc>
        <w:tc>
          <w:tcPr>
            <w:tcW w:w="944" w:type="pct"/>
            <w:vAlign w:val="center"/>
            <w:hideMark/>
          </w:tcPr>
          <w:p w:rsidR="006F63FE" w:rsidRPr="006F63FE" w:rsidRDefault="006F63FE" w:rsidP="00606EAC">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6F63FE">
              <w:rPr>
                <w:sz w:val="22"/>
                <w:szCs w:val="22"/>
              </w:rPr>
              <w:t>Productores de químicos, importadores, distribuidores y trabajadores</w:t>
            </w:r>
          </w:p>
        </w:tc>
      </w:tr>
      <w:tr w:rsidR="006F63FE" w:rsidRPr="006F63FE" w:rsidTr="0094590E">
        <w:trPr>
          <w:cnfStyle w:val="000000100000" w:firstRow="0" w:lastRow="0" w:firstColumn="0" w:lastColumn="0" w:oddVBand="0" w:evenVBand="0" w:oddHBand="1"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1467" w:type="pct"/>
            <w:tcBorders>
              <w:top w:val="none" w:sz="0" w:space="0" w:color="auto"/>
              <w:bottom w:val="none" w:sz="0" w:space="0" w:color="auto"/>
              <w:right w:val="none" w:sz="0" w:space="0" w:color="auto"/>
            </w:tcBorders>
            <w:vAlign w:val="center"/>
            <w:hideMark/>
          </w:tcPr>
          <w:p w:rsidR="006F63FE" w:rsidRPr="006F63FE" w:rsidRDefault="006F63FE" w:rsidP="00606EAC">
            <w:pPr>
              <w:contextualSpacing/>
              <w:rPr>
                <w:sz w:val="22"/>
                <w:szCs w:val="22"/>
              </w:rPr>
            </w:pPr>
            <w:r w:rsidRPr="006F63FE">
              <w:rPr>
                <w:sz w:val="22"/>
                <w:szCs w:val="22"/>
              </w:rPr>
              <w:t>01 de Junio de 2016</w:t>
            </w:r>
          </w:p>
        </w:tc>
        <w:tc>
          <w:tcPr>
            <w:tcW w:w="2589" w:type="pct"/>
            <w:tcBorders>
              <w:top w:val="none" w:sz="0" w:space="0" w:color="auto"/>
              <w:bottom w:val="none" w:sz="0" w:space="0" w:color="auto"/>
            </w:tcBorders>
            <w:vAlign w:val="center"/>
            <w:hideMark/>
          </w:tcPr>
          <w:p w:rsidR="006F63FE" w:rsidRPr="006F63FE" w:rsidRDefault="006F63FE" w:rsidP="00606EAC">
            <w:pPr>
              <w:contextualSpacing/>
              <w:cnfStyle w:val="000000100000" w:firstRow="0" w:lastRow="0" w:firstColumn="0" w:lastColumn="0" w:oddVBand="0" w:evenVBand="0" w:oddHBand="1" w:evenHBand="0" w:firstRowFirstColumn="0" w:firstRowLastColumn="0" w:lastRowFirstColumn="0" w:lastRowLastColumn="0"/>
              <w:rPr>
                <w:sz w:val="22"/>
                <w:szCs w:val="22"/>
              </w:rPr>
            </w:pPr>
            <w:r w:rsidRPr="006F63FE">
              <w:rPr>
                <w:sz w:val="22"/>
                <w:szCs w:val="22"/>
              </w:rPr>
              <w:t xml:space="preserve">Actualizar etiquetado en lugares de trabajo y programa de comunicación de riesgos según sea necesario, y proveer entrenamiento adicional a trabajadores sobre nuevos riesgos físicos o de salud </w:t>
            </w:r>
          </w:p>
        </w:tc>
        <w:tc>
          <w:tcPr>
            <w:tcW w:w="944" w:type="pct"/>
            <w:tcBorders>
              <w:top w:val="none" w:sz="0" w:space="0" w:color="auto"/>
              <w:bottom w:val="none" w:sz="0" w:space="0" w:color="auto"/>
            </w:tcBorders>
            <w:vAlign w:val="center"/>
            <w:hideMark/>
          </w:tcPr>
          <w:p w:rsidR="006F63FE" w:rsidRPr="006F63FE" w:rsidRDefault="006F63FE" w:rsidP="00606EAC">
            <w:pPr>
              <w:contextualSpacing/>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6F63FE">
              <w:rPr>
                <w:rFonts w:cs="Arial"/>
                <w:sz w:val="22"/>
                <w:szCs w:val="22"/>
              </w:rPr>
              <w:t>Trabajadores</w:t>
            </w:r>
          </w:p>
        </w:tc>
      </w:tr>
      <w:tr w:rsidR="006F63FE" w:rsidRPr="006F63FE" w:rsidTr="0094590E">
        <w:tc>
          <w:tcPr>
            <w:cnfStyle w:val="001000000000" w:firstRow="0" w:lastRow="0" w:firstColumn="1" w:lastColumn="0" w:oddVBand="0" w:evenVBand="0" w:oddHBand="0" w:evenHBand="0" w:firstRowFirstColumn="0" w:firstRowLastColumn="0" w:lastRowFirstColumn="0" w:lastRowLastColumn="0"/>
            <w:tcW w:w="1467" w:type="pct"/>
            <w:tcBorders>
              <w:right w:val="none" w:sz="0" w:space="0" w:color="auto"/>
            </w:tcBorders>
            <w:vAlign w:val="center"/>
            <w:hideMark/>
          </w:tcPr>
          <w:p w:rsidR="006F63FE" w:rsidRPr="006F63FE" w:rsidRDefault="006F63FE" w:rsidP="00606EAC">
            <w:pPr>
              <w:contextualSpacing/>
              <w:rPr>
                <w:sz w:val="22"/>
                <w:szCs w:val="22"/>
              </w:rPr>
            </w:pPr>
            <w:r w:rsidRPr="006F63FE">
              <w:rPr>
                <w:sz w:val="22"/>
                <w:szCs w:val="22"/>
              </w:rPr>
              <w:t>Periodo de transición para el cumplimiento efectivo de los plazos indicados previamente</w:t>
            </w:r>
          </w:p>
        </w:tc>
        <w:tc>
          <w:tcPr>
            <w:tcW w:w="2589" w:type="pct"/>
            <w:vAlign w:val="center"/>
            <w:hideMark/>
          </w:tcPr>
          <w:p w:rsidR="006F63FE" w:rsidRPr="006F63FE" w:rsidRDefault="006F63FE" w:rsidP="00606EAC">
            <w:pPr>
              <w:contextualSpacing/>
              <w:cnfStyle w:val="000000000000" w:firstRow="0" w:lastRow="0" w:firstColumn="0" w:lastColumn="0" w:oddVBand="0" w:evenVBand="0" w:oddHBand="0" w:evenHBand="0" w:firstRowFirstColumn="0" w:firstRowLastColumn="0" w:lastRowFirstColumn="0" w:lastRowLastColumn="0"/>
              <w:rPr>
                <w:sz w:val="22"/>
                <w:szCs w:val="22"/>
              </w:rPr>
            </w:pPr>
            <w:r w:rsidRPr="006F63FE">
              <w:rPr>
                <w:sz w:val="22"/>
                <w:szCs w:val="22"/>
              </w:rPr>
              <w:t>Se debe cumplir con la instrucción 29 CFR 1910.1200 (estándar definitivo), o con la instrucción vigente o ambas</w:t>
            </w:r>
          </w:p>
        </w:tc>
        <w:tc>
          <w:tcPr>
            <w:tcW w:w="944" w:type="pct"/>
            <w:vAlign w:val="center"/>
            <w:hideMark/>
          </w:tcPr>
          <w:p w:rsidR="006F63FE" w:rsidRPr="006F63FE" w:rsidRDefault="006F63FE" w:rsidP="00606EAC">
            <w:pPr>
              <w:contextualSpacing/>
              <w:jc w:val="center"/>
              <w:cnfStyle w:val="000000000000" w:firstRow="0" w:lastRow="0" w:firstColumn="0" w:lastColumn="0" w:oddVBand="0" w:evenVBand="0" w:oddHBand="0" w:evenHBand="0" w:firstRowFirstColumn="0" w:firstRowLastColumn="0" w:lastRowFirstColumn="0" w:lastRowLastColumn="0"/>
              <w:rPr>
                <w:sz w:val="22"/>
                <w:szCs w:val="22"/>
              </w:rPr>
            </w:pPr>
            <w:r w:rsidRPr="006F63FE">
              <w:rPr>
                <w:sz w:val="22"/>
                <w:szCs w:val="22"/>
              </w:rPr>
              <w:t>Productores de químicos, importadores, distribuidores y trabajadores</w:t>
            </w:r>
          </w:p>
        </w:tc>
      </w:tr>
    </w:tbl>
    <w:p w:rsidR="006F63FE" w:rsidRPr="006F63FE" w:rsidRDefault="006F63FE" w:rsidP="00606EAC">
      <w:pPr>
        <w:jc w:val="both"/>
        <w:rPr>
          <w:sz w:val="22"/>
          <w:szCs w:val="22"/>
        </w:rPr>
      </w:pPr>
      <w:r w:rsidRPr="006F63FE">
        <w:rPr>
          <w:i/>
          <w:sz w:val="20"/>
        </w:rPr>
        <w:t>NOTA: (*) Esta fecha coincide con la fecha de implementación de clasificación de muestras</w:t>
      </w:r>
      <w:r w:rsidRPr="006F63FE">
        <w:rPr>
          <w:sz w:val="22"/>
          <w:szCs w:val="22"/>
        </w:rPr>
        <w:t>.</w:t>
      </w:r>
    </w:p>
    <w:p w:rsidR="006F63FE" w:rsidRPr="006F63FE" w:rsidRDefault="006F63FE" w:rsidP="00606EAC">
      <w:pPr>
        <w:shd w:val="clear" w:color="auto" w:fill="FFFFFF"/>
        <w:jc w:val="both"/>
        <w:textAlignment w:val="baseline"/>
        <w:rPr>
          <w:rFonts w:eastAsia="Times New Roman" w:cs="Lucida Sans Unicode"/>
          <w:kern w:val="0"/>
          <w:sz w:val="22"/>
          <w:szCs w:val="22"/>
        </w:rPr>
      </w:pPr>
      <w:r w:rsidRPr="006F63FE">
        <w:rPr>
          <w:rFonts w:eastAsia="Times New Roman" w:cs="Lucida Sans Unicode"/>
          <w:kern w:val="0"/>
          <w:sz w:val="22"/>
          <w:szCs w:val="22"/>
          <w:bdr w:val="none" w:sz="0" w:space="0" w:color="auto" w:frame="1"/>
        </w:rPr>
        <w:t xml:space="preserve">La nueva Hazardous Communication Act o HCS-2012 o HazCom 2012 mantiene el marco de la HCS actual y cuenta con seis apéndices donde se encuentran muchos de los requisitos técnicos, basados </w:t>
      </w:r>
      <w:r w:rsidRPr="006F63FE">
        <w:rPr>
          <w:rFonts w:ascii="Arial" w:eastAsia="Times New Roman" w:hAnsi="Arial" w:cs="Arial"/>
          <w:kern w:val="0"/>
          <w:sz w:val="22"/>
          <w:szCs w:val="22"/>
          <w:bdr w:val="none" w:sz="0" w:space="0" w:color="auto" w:frame="1"/>
        </w:rPr>
        <w:t>​​</w:t>
      </w:r>
      <w:r w:rsidRPr="006F63FE">
        <w:rPr>
          <w:rFonts w:eastAsia="Times New Roman" w:cs="Lucida Sans Unicode"/>
          <w:kern w:val="0"/>
          <w:sz w:val="22"/>
          <w:szCs w:val="22"/>
          <w:bdr w:val="none" w:sz="0" w:space="0" w:color="auto" w:frame="1"/>
        </w:rPr>
        <w:t>en el GHS:</w:t>
      </w:r>
    </w:p>
    <w:p w:rsidR="006F63FE" w:rsidRPr="006F63FE" w:rsidRDefault="006F63FE" w:rsidP="00D4302C">
      <w:pPr>
        <w:pStyle w:val="ListParagraph"/>
        <w:numPr>
          <w:ilvl w:val="0"/>
          <w:numId w:val="49"/>
        </w:numPr>
        <w:shd w:val="clear" w:color="auto" w:fill="FFFFFF"/>
        <w:textAlignment w:val="baseline"/>
        <w:rPr>
          <w:rFonts w:eastAsia="Times New Roman" w:cs="Lucida Sans Unicode"/>
          <w:kern w:val="0"/>
          <w:sz w:val="22"/>
          <w:szCs w:val="22"/>
        </w:rPr>
      </w:pPr>
      <w:r w:rsidRPr="006F63FE">
        <w:rPr>
          <w:rFonts w:eastAsia="Times New Roman" w:cs="Lucida Sans Unicode"/>
          <w:kern w:val="0"/>
          <w:sz w:val="22"/>
          <w:szCs w:val="22"/>
          <w:bdr w:val="none" w:sz="0" w:space="0" w:color="auto" w:frame="1"/>
        </w:rPr>
        <w:t>Apéndice A: criterios de riesgo de la salud (obligatorio)</w:t>
      </w:r>
    </w:p>
    <w:p w:rsidR="006F63FE" w:rsidRPr="006F63FE" w:rsidRDefault="006F63FE" w:rsidP="00D4302C">
      <w:pPr>
        <w:pStyle w:val="ListParagraph"/>
        <w:numPr>
          <w:ilvl w:val="0"/>
          <w:numId w:val="49"/>
        </w:numPr>
        <w:shd w:val="clear" w:color="auto" w:fill="FFFFFF"/>
        <w:textAlignment w:val="baseline"/>
        <w:rPr>
          <w:rFonts w:eastAsia="Times New Roman" w:cs="Lucida Sans Unicode"/>
          <w:kern w:val="0"/>
          <w:sz w:val="22"/>
          <w:szCs w:val="22"/>
        </w:rPr>
      </w:pPr>
      <w:r w:rsidRPr="006F63FE">
        <w:rPr>
          <w:rFonts w:eastAsia="Times New Roman" w:cs="Lucida Sans Unicode"/>
          <w:kern w:val="0"/>
          <w:sz w:val="22"/>
          <w:szCs w:val="22"/>
          <w:bdr w:val="none" w:sz="0" w:space="0" w:color="auto" w:frame="1"/>
        </w:rPr>
        <w:t>Apéndice B: criterios de riesgos físicos (obligatorio)</w:t>
      </w:r>
    </w:p>
    <w:p w:rsidR="006F63FE" w:rsidRPr="006F63FE" w:rsidRDefault="006F63FE" w:rsidP="00D4302C">
      <w:pPr>
        <w:pStyle w:val="ListParagraph"/>
        <w:numPr>
          <w:ilvl w:val="0"/>
          <w:numId w:val="49"/>
        </w:numPr>
        <w:shd w:val="clear" w:color="auto" w:fill="FFFFFF"/>
        <w:textAlignment w:val="baseline"/>
        <w:rPr>
          <w:rFonts w:eastAsia="Times New Roman" w:cs="Lucida Sans Unicode"/>
          <w:kern w:val="0"/>
          <w:sz w:val="22"/>
          <w:szCs w:val="22"/>
        </w:rPr>
      </w:pPr>
      <w:r w:rsidRPr="006F63FE">
        <w:rPr>
          <w:rFonts w:eastAsia="Times New Roman" w:cs="Lucida Sans Unicode"/>
          <w:kern w:val="0"/>
          <w:sz w:val="22"/>
          <w:szCs w:val="22"/>
          <w:bdr w:val="none" w:sz="0" w:space="0" w:color="auto" w:frame="1"/>
        </w:rPr>
        <w:t>Apéndice C: asignación de elementos de la etiqueta (obligatorio)</w:t>
      </w:r>
    </w:p>
    <w:p w:rsidR="006F63FE" w:rsidRPr="006F63FE" w:rsidRDefault="006F63FE" w:rsidP="00D4302C">
      <w:pPr>
        <w:pStyle w:val="ListParagraph"/>
        <w:numPr>
          <w:ilvl w:val="0"/>
          <w:numId w:val="49"/>
        </w:numPr>
        <w:shd w:val="clear" w:color="auto" w:fill="FFFFFF"/>
        <w:textAlignment w:val="baseline"/>
        <w:rPr>
          <w:rFonts w:eastAsia="Times New Roman" w:cs="Lucida Sans Unicode"/>
          <w:kern w:val="0"/>
          <w:sz w:val="22"/>
          <w:szCs w:val="22"/>
          <w:bdr w:val="none" w:sz="0" w:space="0" w:color="auto" w:frame="1"/>
        </w:rPr>
      </w:pPr>
      <w:r w:rsidRPr="006F63FE">
        <w:rPr>
          <w:rFonts w:eastAsia="Times New Roman" w:cs="Lucida Sans Unicode"/>
          <w:kern w:val="0"/>
          <w:sz w:val="22"/>
          <w:szCs w:val="22"/>
          <w:bdr w:val="none" w:sz="0" w:space="0" w:color="auto" w:frame="1"/>
        </w:rPr>
        <w:t>Apéndice D: Hojas de datos de seguridad (obligatorio)</w:t>
      </w:r>
    </w:p>
    <w:p w:rsidR="006F63FE" w:rsidRPr="006F63FE" w:rsidRDefault="006F63FE" w:rsidP="00D4302C">
      <w:pPr>
        <w:pStyle w:val="ListParagraph"/>
        <w:numPr>
          <w:ilvl w:val="0"/>
          <w:numId w:val="49"/>
        </w:numPr>
        <w:shd w:val="clear" w:color="auto" w:fill="FFFFFF"/>
        <w:textAlignment w:val="baseline"/>
        <w:rPr>
          <w:rFonts w:eastAsia="Times New Roman" w:cs="Lucida Sans Unicode"/>
          <w:kern w:val="0"/>
          <w:sz w:val="22"/>
          <w:szCs w:val="22"/>
        </w:rPr>
      </w:pPr>
      <w:r w:rsidRPr="006F63FE">
        <w:rPr>
          <w:rFonts w:eastAsia="Times New Roman" w:cs="Lucida Sans Unicode"/>
          <w:kern w:val="0"/>
          <w:sz w:val="22"/>
          <w:szCs w:val="22"/>
          <w:bdr w:val="none" w:sz="0" w:space="0" w:color="auto" w:frame="1"/>
        </w:rPr>
        <w:t>Apéndice E: definición de "secreto comercial" (obligatorio)</w:t>
      </w:r>
    </w:p>
    <w:p w:rsidR="006F63FE" w:rsidRPr="006F63FE" w:rsidRDefault="006F63FE" w:rsidP="00D4302C">
      <w:pPr>
        <w:pStyle w:val="ListParagraph"/>
        <w:numPr>
          <w:ilvl w:val="0"/>
          <w:numId w:val="49"/>
        </w:numPr>
        <w:shd w:val="clear" w:color="auto" w:fill="FFFFFF"/>
        <w:textAlignment w:val="baseline"/>
        <w:rPr>
          <w:rFonts w:eastAsia="Times New Roman" w:cs="Lucida Sans Unicode"/>
          <w:kern w:val="0"/>
          <w:sz w:val="22"/>
          <w:szCs w:val="22"/>
        </w:rPr>
      </w:pPr>
      <w:r w:rsidRPr="006F63FE">
        <w:rPr>
          <w:rFonts w:eastAsia="Times New Roman" w:cs="Lucida Sans Unicode"/>
          <w:kern w:val="0"/>
          <w:sz w:val="22"/>
          <w:szCs w:val="22"/>
          <w:bdr w:val="none" w:sz="0" w:space="0" w:color="auto" w:frame="1"/>
        </w:rPr>
        <w:t>Apéndice F: guía para la clasificación de riesgos. Carcinogenicidad (no obligatorio)</w:t>
      </w:r>
    </w:p>
    <w:p w:rsidR="000C3606" w:rsidRDefault="000C3606" w:rsidP="00606EAC">
      <w:pPr>
        <w:shd w:val="clear" w:color="auto" w:fill="FFFFFF"/>
        <w:contextualSpacing/>
        <w:jc w:val="center"/>
        <w:textAlignment w:val="baseline"/>
        <w:rPr>
          <w:rFonts w:eastAsia="Times New Roman" w:cs="Lucida Sans Unicode"/>
          <w:b/>
          <w:kern w:val="0"/>
          <w:sz w:val="22"/>
          <w:szCs w:val="22"/>
        </w:rPr>
      </w:pPr>
    </w:p>
    <w:p w:rsidR="006831E0" w:rsidRDefault="006831E0" w:rsidP="00606EAC">
      <w:pPr>
        <w:shd w:val="clear" w:color="auto" w:fill="FFFFFF"/>
        <w:contextualSpacing/>
        <w:jc w:val="center"/>
        <w:textAlignment w:val="baseline"/>
        <w:rPr>
          <w:rFonts w:eastAsia="Times New Roman" w:cs="Lucida Sans Unicode"/>
          <w:b/>
          <w:kern w:val="0"/>
          <w:sz w:val="22"/>
          <w:szCs w:val="22"/>
        </w:rPr>
      </w:pPr>
    </w:p>
    <w:p w:rsidR="006831E0" w:rsidRDefault="006831E0" w:rsidP="00606EAC">
      <w:pPr>
        <w:shd w:val="clear" w:color="auto" w:fill="FFFFFF"/>
        <w:contextualSpacing/>
        <w:jc w:val="center"/>
        <w:textAlignment w:val="baseline"/>
        <w:rPr>
          <w:rFonts w:eastAsia="Times New Roman" w:cs="Lucida Sans Unicode"/>
          <w:b/>
          <w:kern w:val="0"/>
          <w:sz w:val="22"/>
          <w:szCs w:val="22"/>
        </w:rPr>
      </w:pPr>
    </w:p>
    <w:p w:rsidR="006F63FE" w:rsidRPr="00872364" w:rsidRDefault="0094590E" w:rsidP="00606EAC">
      <w:pPr>
        <w:shd w:val="clear" w:color="auto" w:fill="FFFFFF"/>
        <w:contextualSpacing/>
        <w:jc w:val="center"/>
        <w:textAlignment w:val="baseline"/>
        <w:rPr>
          <w:rFonts w:eastAsia="Times New Roman" w:cs="Lucida Sans Unicode"/>
          <w:b/>
          <w:kern w:val="0"/>
          <w:sz w:val="22"/>
          <w:szCs w:val="22"/>
        </w:rPr>
      </w:pPr>
      <w:r>
        <w:rPr>
          <w:rFonts w:eastAsia="Times New Roman" w:cs="Lucida Sans Unicode"/>
          <w:b/>
          <w:kern w:val="0"/>
          <w:sz w:val="22"/>
          <w:szCs w:val="22"/>
        </w:rPr>
        <w:t>Figura 3</w:t>
      </w:r>
      <w:r w:rsidR="006F63FE" w:rsidRPr="00872364">
        <w:rPr>
          <w:rFonts w:eastAsia="Times New Roman" w:cs="Lucida Sans Unicode"/>
          <w:b/>
          <w:kern w:val="0"/>
          <w:sz w:val="22"/>
          <w:szCs w:val="22"/>
        </w:rPr>
        <w:t>. OSHA - Etiqueta tipo</w:t>
      </w:r>
      <w:r w:rsidR="006F63FE" w:rsidRPr="00872364">
        <w:rPr>
          <w:rFonts w:cs="Tahoma"/>
          <w:b/>
          <w:sz w:val="22"/>
          <w:szCs w:val="22"/>
          <w:shd w:val="clear" w:color="auto" w:fill="FFFFFF"/>
        </w:rPr>
        <w:t xml:space="preserve"> </w:t>
      </w:r>
      <w:r w:rsidR="006F63FE" w:rsidRPr="00872364">
        <w:rPr>
          <w:rFonts w:eastAsia="Times New Roman" w:cs="Lucida Sans Unicode"/>
          <w:b/>
          <w:kern w:val="0"/>
          <w:sz w:val="22"/>
          <w:szCs w:val="22"/>
        </w:rPr>
        <w:t xml:space="preserve">a aplicar desde el 01 de junio de 2015 </w:t>
      </w:r>
    </w:p>
    <w:p w:rsidR="006F63FE" w:rsidRPr="00872364" w:rsidRDefault="006F63FE" w:rsidP="00606EAC">
      <w:pPr>
        <w:shd w:val="clear" w:color="auto" w:fill="FFFFFF"/>
        <w:contextualSpacing/>
        <w:jc w:val="center"/>
        <w:textAlignment w:val="baseline"/>
        <w:rPr>
          <w:rFonts w:eastAsia="Times New Roman" w:cs="Lucida Sans Unicode"/>
          <w:b/>
          <w:kern w:val="0"/>
          <w:sz w:val="22"/>
          <w:szCs w:val="22"/>
        </w:rPr>
      </w:pPr>
      <w:r w:rsidRPr="00872364">
        <w:rPr>
          <w:rFonts w:eastAsia="Times New Roman" w:cs="Lucida Sans Unicode"/>
          <w:b/>
          <w:kern w:val="0"/>
          <w:sz w:val="22"/>
          <w:szCs w:val="22"/>
        </w:rPr>
        <w:t>(Pictograma, palabra clave, instrucciones de riesgo y de precaución, identificación del productor y del proveedor). </w:t>
      </w:r>
    </w:p>
    <w:p w:rsidR="006F63FE" w:rsidRPr="006F63FE" w:rsidRDefault="006F63FE" w:rsidP="00606EAC">
      <w:pPr>
        <w:jc w:val="center"/>
        <w:rPr>
          <w:sz w:val="22"/>
          <w:szCs w:val="22"/>
        </w:rPr>
      </w:pPr>
      <w:r w:rsidRPr="006F63FE">
        <w:rPr>
          <w:noProof/>
          <w:sz w:val="22"/>
          <w:szCs w:val="22"/>
          <w:lang w:val="en-AU" w:eastAsia="en-AU"/>
        </w:rPr>
        <w:drawing>
          <wp:inline distT="0" distB="0" distL="0" distR="0" wp14:anchorId="03660DD7" wp14:editId="7D2D94C5">
            <wp:extent cx="5094496" cy="2854037"/>
            <wp:effectExtent l="19050" t="0" r="0" b="0"/>
            <wp:docPr id="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03157" cy="2858889"/>
                    </a:xfrm>
                    <a:prstGeom prst="rect">
                      <a:avLst/>
                    </a:prstGeom>
                    <a:noFill/>
                    <a:ln>
                      <a:noFill/>
                    </a:ln>
                  </pic:spPr>
                </pic:pic>
              </a:graphicData>
            </a:graphic>
          </wp:inline>
        </w:drawing>
      </w:r>
    </w:p>
    <w:p w:rsidR="006F63FE" w:rsidRPr="006F63FE" w:rsidRDefault="006F63FE" w:rsidP="00606EAC">
      <w:pPr>
        <w:jc w:val="both"/>
        <w:rPr>
          <w:sz w:val="22"/>
          <w:szCs w:val="22"/>
        </w:rPr>
      </w:pPr>
      <w:r w:rsidRPr="006F63FE">
        <w:rPr>
          <w:rFonts w:eastAsia="Times New Roman" w:cs="Tahoma"/>
          <w:sz w:val="22"/>
          <w:szCs w:val="22"/>
          <w:bdr w:val="none" w:sz="0" w:space="0" w:color="auto" w:frame="1"/>
        </w:rPr>
        <w:t>Adicional a la HCS, el American Chemistry Council (ACC) redactó dos</w:t>
      </w:r>
      <w:r w:rsidRPr="006F63FE">
        <w:rPr>
          <w:sz w:val="22"/>
          <w:szCs w:val="22"/>
        </w:rPr>
        <w:t xml:space="preserve"> normas técnicas:</w:t>
      </w:r>
    </w:p>
    <w:p w:rsidR="006F63FE" w:rsidRPr="006F63FE" w:rsidRDefault="006F63FE" w:rsidP="00D4302C">
      <w:pPr>
        <w:pStyle w:val="ListParagraph"/>
        <w:numPr>
          <w:ilvl w:val="0"/>
          <w:numId w:val="50"/>
        </w:numPr>
        <w:contextualSpacing w:val="0"/>
        <w:jc w:val="both"/>
        <w:rPr>
          <w:rFonts w:eastAsia="Times New Roman" w:cs="Tahoma"/>
          <w:sz w:val="22"/>
          <w:szCs w:val="22"/>
        </w:rPr>
      </w:pPr>
      <w:r w:rsidRPr="006F63FE">
        <w:rPr>
          <w:rFonts w:eastAsia="Times New Roman" w:cs="Tahoma"/>
          <w:sz w:val="22"/>
          <w:szCs w:val="22"/>
          <w:bdr w:val="none" w:sz="0" w:space="0" w:color="auto" w:frame="1"/>
        </w:rPr>
        <w:t>ANSI Z400.1, Norma Nacional Americana para los Químicos Peligrosos industriales - Material de Seguridad Hojas de Datos - Preparación</w:t>
      </w:r>
    </w:p>
    <w:p w:rsidR="006F63FE" w:rsidRPr="006F63FE" w:rsidRDefault="006F63FE" w:rsidP="00D4302C">
      <w:pPr>
        <w:pStyle w:val="ListParagraph"/>
        <w:numPr>
          <w:ilvl w:val="0"/>
          <w:numId w:val="50"/>
        </w:numPr>
        <w:contextualSpacing w:val="0"/>
        <w:jc w:val="both"/>
        <w:rPr>
          <w:rFonts w:eastAsia="Times New Roman" w:cs="Tahoma"/>
          <w:sz w:val="22"/>
          <w:szCs w:val="22"/>
        </w:rPr>
      </w:pPr>
      <w:r w:rsidRPr="006F63FE">
        <w:rPr>
          <w:rFonts w:eastAsia="Times New Roman" w:cs="Tahoma"/>
          <w:sz w:val="22"/>
          <w:szCs w:val="22"/>
          <w:bdr w:val="none" w:sz="0" w:space="0" w:color="auto" w:frame="1"/>
        </w:rPr>
        <w:t>ANSI Z129.1, Norma Nacional Americana para los Químicos Peligrosos industriales - Etiquetado de precaución</w:t>
      </w:r>
    </w:p>
    <w:p w:rsidR="006F63FE" w:rsidRDefault="006F63FE" w:rsidP="00606EAC">
      <w:pPr>
        <w:shd w:val="clear" w:color="auto" w:fill="FFFFFF"/>
        <w:jc w:val="both"/>
        <w:rPr>
          <w:rFonts w:eastAsia="Times New Roman" w:cs="Tahoma"/>
          <w:sz w:val="22"/>
          <w:szCs w:val="22"/>
          <w:bdr w:val="none" w:sz="0" w:space="0" w:color="auto" w:frame="1"/>
        </w:rPr>
      </w:pPr>
      <w:r w:rsidRPr="006F63FE">
        <w:rPr>
          <w:rFonts w:eastAsia="Times New Roman" w:cs="Tahoma"/>
          <w:sz w:val="22"/>
          <w:szCs w:val="22"/>
        </w:rPr>
        <w:t>Pero e</w:t>
      </w:r>
      <w:r w:rsidRPr="006F63FE">
        <w:rPr>
          <w:rFonts w:eastAsia="Times New Roman" w:cs="Tahoma"/>
          <w:sz w:val="22"/>
          <w:szCs w:val="22"/>
          <w:bdr w:val="none" w:sz="0" w:space="0" w:color="auto" w:frame="1"/>
        </w:rPr>
        <w:t>n 2010, la norma ANSI Z400.1 y Z129.1 se combinaron para formar ANSI Z400.1/Z129.1-2010 Peligros químicos en el trabajo - Evaluación de Riesgos, Seguridad de Datos y Preparación de precaución Etiquetado. Lo anterior debido a la intención de la OSHA de incorporar las directrices del GHS.</w:t>
      </w:r>
    </w:p>
    <w:p w:rsidR="00C503C6" w:rsidRPr="00D86ED0" w:rsidRDefault="0094590E" w:rsidP="00606EAC">
      <w:pPr>
        <w:jc w:val="both"/>
        <w:rPr>
          <w:sz w:val="22"/>
          <w:szCs w:val="22"/>
        </w:rPr>
      </w:pPr>
      <w:r>
        <w:rPr>
          <w:sz w:val="22"/>
          <w:szCs w:val="22"/>
        </w:rPr>
        <w:t>En el caso del Sector Plaguicidas</w:t>
      </w:r>
      <w:r w:rsidR="00C503C6" w:rsidRPr="00D86ED0">
        <w:rPr>
          <w:sz w:val="22"/>
          <w:szCs w:val="22"/>
        </w:rPr>
        <w:t xml:space="preserve">, </w:t>
      </w:r>
      <w:r w:rsidR="00D86ED0" w:rsidRPr="00D86ED0">
        <w:rPr>
          <w:sz w:val="22"/>
          <w:szCs w:val="22"/>
        </w:rPr>
        <w:t xml:space="preserve">se contactó a la Sra. Kathryn Boyle de la Oficina del Programa de Pesticidas, quien confirmó que el sistema GHS aún no está implementado en este sector. No obstante </w:t>
      </w:r>
      <w:r w:rsidR="00C503C6" w:rsidRPr="00D86ED0">
        <w:rPr>
          <w:sz w:val="22"/>
          <w:szCs w:val="22"/>
        </w:rPr>
        <w:t>lo anterior</w:t>
      </w:r>
      <w:r w:rsidR="00D86ED0" w:rsidRPr="00D86ED0">
        <w:rPr>
          <w:sz w:val="22"/>
          <w:szCs w:val="22"/>
        </w:rPr>
        <w:t>,</w:t>
      </w:r>
      <w:r w:rsidR="00C503C6" w:rsidRPr="00D86ED0">
        <w:rPr>
          <w:sz w:val="22"/>
          <w:szCs w:val="22"/>
        </w:rPr>
        <w:t xml:space="preserve"> en el sitio Web de la EPA se encontró la siguiente información relativa a la implementación del GHS en el sector plaguicidas:</w:t>
      </w:r>
    </w:p>
    <w:p w:rsidR="00C503C6" w:rsidRPr="00D86ED0" w:rsidRDefault="00C503C6" w:rsidP="00D4302C">
      <w:pPr>
        <w:pStyle w:val="ListParagraph"/>
        <w:numPr>
          <w:ilvl w:val="0"/>
          <w:numId w:val="51"/>
        </w:numPr>
        <w:jc w:val="both"/>
        <w:rPr>
          <w:sz w:val="22"/>
          <w:szCs w:val="22"/>
        </w:rPr>
      </w:pPr>
      <w:r w:rsidRPr="00D86ED0">
        <w:rPr>
          <w:sz w:val="22"/>
          <w:szCs w:val="22"/>
        </w:rPr>
        <w:t xml:space="preserve">Dado el tamaño y la escala del mercado de plaguicidas en los Estados Unidos y la importancia de la revisión de etiquetas en el sistema de regulación de plaguicidas EE.UU., la EPA reconoce que sería necesario mucho tiempo y esfuerzo para poner en práctica los cambios en las etiquetas y llevar a cabo actividades de divulgación y educación eficaces. Una vez que las reglas y políticas de etiquetado cambien, tendría que existir una etapa de transición a las nuevas etiquetas. La aplicación también requerirá la coordinación a nivel nacional e internacional para evitar interrupciones innecesarias. </w:t>
      </w:r>
    </w:p>
    <w:p w:rsidR="00C503C6" w:rsidRPr="00D86ED0" w:rsidRDefault="00C503C6" w:rsidP="00D4302C">
      <w:pPr>
        <w:pStyle w:val="ListParagraph"/>
        <w:numPr>
          <w:ilvl w:val="0"/>
          <w:numId w:val="51"/>
        </w:numPr>
        <w:jc w:val="both"/>
        <w:rPr>
          <w:sz w:val="22"/>
          <w:szCs w:val="22"/>
        </w:rPr>
      </w:pPr>
      <w:r w:rsidRPr="00D86ED0">
        <w:rPr>
          <w:sz w:val="22"/>
          <w:szCs w:val="22"/>
        </w:rPr>
        <w:t xml:space="preserve">EPA prevé que este proceso se produzca en varias etapas a lo largo de varios años para producir resultados concretos que contribuyan a la consecución de la protección de la salud pública y los beneficios programáticos del GHS. </w:t>
      </w:r>
    </w:p>
    <w:p w:rsidR="00C503C6" w:rsidRPr="00D86ED0" w:rsidRDefault="00C503C6" w:rsidP="00D4302C">
      <w:pPr>
        <w:pStyle w:val="ListParagraph"/>
        <w:numPr>
          <w:ilvl w:val="0"/>
          <w:numId w:val="51"/>
        </w:numPr>
        <w:jc w:val="both"/>
        <w:rPr>
          <w:sz w:val="22"/>
          <w:szCs w:val="22"/>
        </w:rPr>
      </w:pPr>
      <w:r w:rsidRPr="00D86ED0">
        <w:rPr>
          <w:sz w:val="22"/>
          <w:szCs w:val="22"/>
        </w:rPr>
        <w:t xml:space="preserve">La EPA reconoce que muchas partes interesadas se verían afectados por los cambios en los requisitos de clasificación y etiquetado de los productos plaguicidas. </w:t>
      </w:r>
    </w:p>
    <w:p w:rsidR="00C503C6" w:rsidRPr="00D86ED0" w:rsidRDefault="00C503C6" w:rsidP="00D4302C">
      <w:pPr>
        <w:pStyle w:val="ListParagraph"/>
        <w:numPr>
          <w:ilvl w:val="0"/>
          <w:numId w:val="51"/>
        </w:numPr>
        <w:jc w:val="both"/>
        <w:rPr>
          <w:sz w:val="22"/>
          <w:szCs w:val="22"/>
        </w:rPr>
      </w:pPr>
      <w:r w:rsidRPr="00D86ED0">
        <w:rPr>
          <w:sz w:val="22"/>
          <w:szCs w:val="22"/>
        </w:rPr>
        <w:t>EPA seguirá comunicándose con las partes interesadas a medida que la Agencia avanza en la formación y la divulgación, la recopilación de datos, la coordinación y el desarrollo de una estrategia de ejecución que reduzca al mínimo los costos y hacer la transición lo más suave posible.</w:t>
      </w:r>
    </w:p>
    <w:p w:rsidR="00C503C6" w:rsidRPr="00D86ED0" w:rsidRDefault="00C503C6" w:rsidP="00606EAC">
      <w:pPr>
        <w:jc w:val="both"/>
        <w:rPr>
          <w:sz w:val="22"/>
          <w:szCs w:val="22"/>
        </w:rPr>
      </w:pPr>
      <w:r w:rsidRPr="00D86ED0">
        <w:rPr>
          <w:sz w:val="22"/>
          <w:szCs w:val="22"/>
        </w:rPr>
        <w:t>Finalmente, se registra una noticia del pasado 14 de julio de 2014 en la cual la EPA propone una revisión de los reglamentos de exportación de plaguicidas referido en específico al etiquetado:</w:t>
      </w:r>
    </w:p>
    <w:p w:rsidR="005912F0" w:rsidRDefault="00C503C6" w:rsidP="00872364">
      <w:pPr>
        <w:jc w:val="both"/>
        <w:rPr>
          <w:i/>
          <w:sz w:val="22"/>
          <w:szCs w:val="22"/>
        </w:rPr>
      </w:pPr>
      <w:r w:rsidRPr="00D86ED0">
        <w:rPr>
          <w:sz w:val="22"/>
          <w:szCs w:val="22"/>
        </w:rPr>
        <w:t>“</w:t>
      </w:r>
      <w:r w:rsidRPr="00D86ED0">
        <w:rPr>
          <w:i/>
          <w:sz w:val="22"/>
          <w:szCs w:val="22"/>
        </w:rPr>
        <w:t>La EPA propone la revisión de su normativa en materia de etiquetado de exportación de plaguicidas. Al finalizar, esta regla corregiría la retirada inadvertida de una disposición de la normativa que se produjo en enero de 2013 durante la revisión de estas regulaciones.  La EPA propone restaurar la disposición que permite que la información requerida bajo las regulaciones de exportación de pesticidas sean informadas en etiquetas adicionales (tales como boletines, folletos, circulares, hojas de datos o volantes) anexadas al embalaje del contenedor de transporte en lugar de en el envase individual de cada producto. Por lo general, los productos que se fabrican en los Estados Unidos para la exportación llevan una etiqueta que cumple con los requisitos del país importador. Dado que esa etiqueta puede que no cumpla todos los requisitos de etiquetado de los Estados Unidos, mientras está en tránsito en los Estados Unidos, los productos destinados a la exportación podrán satisfacer esas necesidades mediante marcaje unido al contenedor de transporte. Ante reclamos de las partes interesadas, el 30 de abril de 2014 la EPA indicó que se restauraría la disposición eliminada por error en 2013 y emitió una nueva disposición la cual está en consulta pública hasta el 11 de agosto de 2014”.</w:t>
      </w:r>
      <w:r w:rsidRPr="00AF457D">
        <w:rPr>
          <w:i/>
          <w:sz w:val="22"/>
          <w:szCs w:val="22"/>
        </w:rPr>
        <w:t xml:space="preserve"> </w:t>
      </w:r>
    </w:p>
    <w:p w:rsidR="00527081" w:rsidRPr="00AF457D" w:rsidRDefault="00527081" w:rsidP="00872364">
      <w:pPr>
        <w:jc w:val="both"/>
        <w:rPr>
          <w:i/>
          <w:sz w:val="22"/>
          <w:szCs w:val="22"/>
        </w:rPr>
      </w:pPr>
    </w:p>
    <w:p w:rsidR="00B54810" w:rsidRPr="002D4486" w:rsidRDefault="006F63FE" w:rsidP="00872364">
      <w:pPr>
        <w:pStyle w:val="Heading4"/>
        <w:spacing w:before="0" w:after="180"/>
        <w:ind w:left="851" w:hanging="862"/>
        <w:rPr>
          <w:b/>
          <w:i/>
          <w:caps w:val="0"/>
        </w:rPr>
      </w:pPr>
      <w:bookmarkStart w:id="71" w:name="_Toc388552088"/>
      <w:r w:rsidRPr="002D4486">
        <w:rPr>
          <w:b/>
          <w:i/>
          <w:caps w:val="0"/>
        </w:rPr>
        <w:t xml:space="preserve"> </w:t>
      </w:r>
      <w:bookmarkStart w:id="72" w:name="_Toc418168878"/>
      <w:r w:rsidR="00B54810" w:rsidRPr="002D4486">
        <w:rPr>
          <w:b/>
          <w:i/>
          <w:caps w:val="0"/>
        </w:rPr>
        <w:t>Canadá</w:t>
      </w:r>
      <w:bookmarkEnd w:id="71"/>
      <w:bookmarkEnd w:id="72"/>
    </w:p>
    <w:tbl>
      <w:tblPr>
        <w:tblStyle w:val="Listaclara-nfasis1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7766"/>
      </w:tblGrid>
      <w:tr w:rsidR="00B54810" w:rsidRPr="0000574A" w:rsidTr="00AB22A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83" w:type="pct"/>
          </w:tcPr>
          <w:p w:rsidR="00B54810" w:rsidRPr="0000574A" w:rsidRDefault="00B54810" w:rsidP="00606EAC">
            <w:pPr>
              <w:spacing w:after="0" w:line="240" w:lineRule="auto"/>
              <w:ind w:right="368"/>
              <w:rPr>
                <w:rFonts w:asciiTheme="minorHAnsi" w:hAnsiTheme="minorHAnsi"/>
              </w:rPr>
            </w:pPr>
            <w:r w:rsidRPr="0000574A">
              <w:rPr>
                <w:rFonts w:asciiTheme="minorHAnsi" w:hAnsiTheme="minorHAnsi"/>
              </w:rPr>
              <w:t>Encargado</w:t>
            </w:r>
          </w:p>
        </w:tc>
        <w:tc>
          <w:tcPr>
            <w:tcW w:w="3917" w:type="pct"/>
          </w:tcPr>
          <w:p w:rsidR="00B54810" w:rsidRPr="0000574A" w:rsidRDefault="00B54810" w:rsidP="00606EAC">
            <w:pPr>
              <w:spacing w:after="0" w:line="240" w:lineRule="auto"/>
              <w:ind w:right="368"/>
              <w:cnfStyle w:val="100000000000" w:firstRow="1" w:lastRow="0" w:firstColumn="0" w:lastColumn="0" w:oddVBand="0" w:evenVBand="0" w:oddHBand="0" w:evenHBand="0" w:firstRowFirstColumn="0" w:firstRowLastColumn="0" w:lastRowFirstColumn="0" w:lastRowLastColumn="0"/>
              <w:rPr>
                <w:rFonts w:asciiTheme="minorHAnsi" w:hAnsiTheme="minorHAnsi"/>
              </w:rPr>
            </w:pPr>
            <w:r w:rsidRPr="0000574A">
              <w:rPr>
                <w:rFonts w:asciiTheme="minorHAnsi" w:hAnsiTheme="minorHAnsi"/>
              </w:rPr>
              <w:t>Departamento de Salud</w:t>
            </w:r>
          </w:p>
        </w:tc>
      </w:tr>
      <w:tr w:rsidR="00B54810" w:rsidRPr="0000574A" w:rsidTr="00AB22A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83" w:type="pct"/>
            <w:tcBorders>
              <w:top w:val="none" w:sz="0" w:space="0" w:color="auto"/>
              <w:left w:val="none" w:sz="0" w:space="0" w:color="auto"/>
              <w:bottom w:val="none" w:sz="0" w:space="0" w:color="auto"/>
            </w:tcBorders>
          </w:tcPr>
          <w:p w:rsidR="00B54810" w:rsidRPr="0000574A" w:rsidRDefault="00B54810" w:rsidP="00606EAC">
            <w:pPr>
              <w:spacing w:after="0" w:line="240" w:lineRule="auto"/>
              <w:ind w:right="368"/>
              <w:rPr>
                <w:rFonts w:asciiTheme="minorHAnsi" w:hAnsiTheme="minorHAnsi"/>
              </w:rPr>
            </w:pPr>
            <w:r w:rsidRPr="0000574A">
              <w:rPr>
                <w:rFonts w:asciiTheme="minorHAnsi" w:hAnsiTheme="minorHAnsi"/>
              </w:rPr>
              <w:t xml:space="preserve">Principales participantes </w:t>
            </w:r>
          </w:p>
        </w:tc>
        <w:tc>
          <w:tcPr>
            <w:tcW w:w="3917" w:type="pct"/>
            <w:tcBorders>
              <w:top w:val="none" w:sz="0" w:space="0" w:color="auto"/>
              <w:bottom w:val="none" w:sz="0" w:space="0" w:color="auto"/>
              <w:right w:val="none" w:sz="0" w:space="0" w:color="auto"/>
            </w:tcBorders>
          </w:tcPr>
          <w:p w:rsidR="00B54810" w:rsidRPr="0000574A" w:rsidRDefault="00B54810" w:rsidP="00606EAC">
            <w:pPr>
              <w:spacing w:after="0" w:line="240" w:lineRule="auto"/>
              <w:ind w:right="-24"/>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rPr>
              <w:t>Oficina Nacional de WHMIS (W</w:t>
            </w:r>
            <w:r>
              <w:rPr>
                <w:rFonts w:asciiTheme="minorHAnsi" w:hAnsiTheme="minorHAnsi"/>
              </w:rPr>
              <w:t>orkplace Hazardous Materials Information S</w:t>
            </w:r>
            <w:r w:rsidRPr="0000574A">
              <w:rPr>
                <w:rFonts w:asciiTheme="minorHAnsi" w:hAnsiTheme="minorHAnsi"/>
              </w:rPr>
              <w:t>ystem), Departamento de Transporte</w:t>
            </w:r>
            <w:r>
              <w:rPr>
                <w:rFonts w:asciiTheme="minorHAnsi" w:hAnsiTheme="minorHAnsi"/>
              </w:rPr>
              <w:t>.</w:t>
            </w:r>
          </w:p>
        </w:tc>
      </w:tr>
      <w:tr w:rsidR="00B54810" w:rsidRPr="0000574A" w:rsidTr="00AB22A8">
        <w:trPr>
          <w:jc w:val="center"/>
        </w:trPr>
        <w:tc>
          <w:tcPr>
            <w:cnfStyle w:val="001000000000" w:firstRow="0" w:lastRow="0" w:firstColumn="1" w:lastColumn="0" w:oddVBand="0" w:evenVBand="0" w:oddHBand="0" w:evenHBand="0" w:firstRowFirstColumn="0" w:firstRowLastColumn="0" w:lastRowFirstColumn="0" w:lastRowLastColumn="0"/>
            <w:tcW w:w="1083" w:type="pct"/>
          </w:tcPr>
          <w:p w:rsidR="00B54810" w:rsidRPr="0000574A" w:rsidRDefault="00B54810" w:rsidP="00606EAC">
            <w:pPr>
              <w:spacing w:after="0" w:line="240" w:lineRule="auto"/>
              <w:ind w:right="368"/>
              <w:rPr>
                <w:rFonts w:asciiTheme="minorHAnsi" w:hAnsiTheme="minorHAnsi"/>
              </w:rPr>
            </w:pPr>
            <w:r w:rsidRPr="0000574A">
              <w:rPr>
                <w:rFonts w:asciiTheme="minorHAnsi" w:hAnsiTheme="minorHAnsi"/>
              </w:rPr>
              <w:t>Antecedentes</w:t>
            </w:r>
          </w:p>
        </w:tc>
        <w:tc>
          <w:tcPr>
            <w:tcW w:w="3917" w:type="pct"/>
          </w:tcPr>
          <w:p w:rsidR="00B54810" w:rsidRDefault="00B54810" w:rsidP="00606EAC">
            <w:pPr>
              <w:spacing w:after="0" w:line="240" w:lineRule="auto"/>
              <w:ind w:right="-24"/>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0574A">
              <w:rPr>
                <w:rFonts w:asciiTheme="minorHAnsi" w:hAnsiTheme="minorHAnsi"/>
                <w:u w:val="single"/>
              </w:rPr>
              <w:t>2003</w:t>
            </w:r>
            <w:r w:rsidRPr="0000574A">
              <w:rPr>
                <w:rFonts w:asciiTheme="minorHAnsi" w:hAnsiTheme="minorHAnsi"/>
              </w:rPr>
              <w:t>: Análisis de situación por sector que compara los requerimientos actuales con los del GHS. Seminario con actores de los distintos sectores para introducir el trabajo sobre el GHS.</w:t>
            </w:r>
          </w:p>
          <w:p w:rsidR="00B54810" w:rsidRPr="0000574A" w:rsidRDefault="00B54810" w:rsidP="00606EAC">
            <w:pPr>
              <w:spacing w:after="0" w:line="240" w:lineRule="auto"/>
              <w:ind w:right="-24"/>
              <w:cnfStyle w:val="000000000000" w:firstRow="0" w:lastRow="0" w:firstColumn="0" w:lastColumn="0" w:oddVBand="0" w:evenVBand="0" w:oddHBand="0" w:evenHBand="0" w:firstRowFirstColumn="0" w:firstRowLastColumn="0" w:lastRowFirstColumn="0" w:lastRowLastColumn="0"/>
              <w:rPr>
                <w:rFonts w:asciiTheme="minorHAnsi" w:hAnsiTheme="minorHAnsi"/>
              </w:rPr>
            </w:pPr>
          </w:p>
          <w:p w:rsidR="00B54810" w:rsidRDefault="00B54810" w:rsidP="00606EAC">
            <w:pPr>
              <w:spacing w:after="0" w:line="240" w:lineRule="auto"/>
              <w:ind w:right="-24"/>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0574A">
              <w:rPr>
                <w:rFonts w:asciiTheme="minorHAnsi" w:hAnsiTheme="minorHAnsi"/>
                <w:u w:val="single"/>
              </w:rPr>
              <w:t>2004-2005:</w:t>
            </w:r>
            <w:r w:rsidRPr="0000574A">
              <w:rPr>
                <w:rFonts w:asciiTheme="minorHAnsi" w:hAnsiTheme="minorHAnsi"/>
              </w:rPr>
              <w:t xml:space="preserve"> Consultas técnicas a distintos grupos de interés para lograr la armonización entre los sectores y entre socios comerciales.</w:t>
            </w:r>
          </w:p>
          <w:p w:rsidR="00B54810" w:rsidRPr="0000574A" w:rsidRDefault="00B54810" w:rsidP="00606EAC">
            <w:pPr>
              <w:spacing w:after="0" w:line="240" w:lineRule="auto"/>
              <w:ind w:right="-24"/>
              <w:cnfStyle w:val="000000000000" w:firstRow="0" w:lastRow="0" w:firstColumn="0" w:lastColumn="0" w:oddVBand="0" w:evenVBand="0" w:oddHBand="0" w:evenHBand="0" w:firstRowFirstColumn="0" w:firstRowLastColumn="0" w:lastRowFirstColumn="0" w:lastRowLastColumn="0"/>
              <w:rPr>
                <w:rFonts w:asciiTheme="minorHAnsi" w:hAnsiTheme="minorHAnsi"/>
              </w:rPr>
            </w:pPr>
          </w:p>
          <w:p w:rsidR="00B54810" w:rsidRDefault="00B54810" w:rsidP="00606EAC">
            <w:pPr>
              <w:spacing w:after="0" w:line="240" w:lineRule="auto"/>
              <w:ind w:right="-24"/>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0574A">
              <w:rPr>
                <w:rFonts w:asciiTheme="minorHAnsi" w:hAnsiTheme="minorHAnsi"/>
                <w:u w:val="single"/>
              </w:rPr>
              <w:t>2006</w:t>
            </w:r>
            <w:r w:rsidRPr="0000574A">
              <w:rPr>
                <w:rFonts w:asciiTheme="minorHAnsi" w:hAnsiTheme="minorHAnsi"/>
              </w:rPr>
              <w:t>: Publicación de documento con resultado de las consultas técnicas</w:t>
            </w:r>
            <w:r>
              <w:rPr>
                <w:rFonts w:asciiTheme="minorHAnsi" w:hAnsiTheme="minorHAnsi"/>
              </w:rPr>
              <w:t>.</w:t>
            </w:r>
          </w:p>
          <w:p w:rsidR="00B54810" w:rsidRPr="0000574A" w:rsidRDefault="00B54810" w:rsidP="00606EAC">
            <w:pPr>
              <w:spacing w:after="0" w:line="240" w:lineRule="auto"/>
              <w:ind w:right="-24"/>
              <w:cnfStyle w:val="000000000000" w:firstRow="0" w:lastRow="0" w:firstColumn="0" w:lastColumn="0" w:oddVBand="0" w:evenVBand="0" w:oddHBand="0" w:evenHBand="0" w:firstRowFirstColumn="0" w:firstRowLastColumn="0" w:lastRowFirstColumn="0" w:lastRowLastColumn="0"/>
              <w:rPr>
                <w:rFonts w:asciiTheme="minorHAnsi" w:hAnsiTheme="minorHAnsi"/>
              </w:rPr>
            </w:pPr>
          </w:p>
          <w:p w:rsidR="00B54810" w:rsidRPr="0000574A" w:rsidRDefault="00B54810" w:rsidP="00606EAC">
            <w:pPr>
              <w:spacing w:after="0" w:line="240" w:lineRule="auto"/>
              <w:ind w:right="-24"/>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0574A">
              <w:rPr>
                <w:rFonts w:asciiTheme="minorHAnsi" w:hAnsiTheme="minorHAnsi"/>
                <w:u w:val="single"/>
              </w:rPr>
              <w:t>2007-2012</w:t>
            </w:r>
            <w:r w:rsidRPr="0000574A">
              <w:rPr>
                <w:rFonts w:asciiTheme="minorHAnsi" w:hAnsiTheme="minorHAnsi"/>
              </w:rPr>
              <w:t>: Desarrollo en profundidad de las recomendaciones de las consultas técnicas y elaboración de borrador de regulaciones a implementar.</w:t>
            </w:r>
          </w:p>
          <w:p w:rsidR="00B54810" w:rsidRPr="0000574A" w:rsidRDefault="00B54810" w:rsidP="0094590E">
            <w:pPr>
              <w:pStyle w:val="ListParagraph"/>
              <w:numPr>
                <w:ilvl w:val="0"/>
                <w:numId w:val="11"/>
              </w:numPr>
              <w:spacing w:after="0" w:line="240" w:lineRule="auto"/>
              <w:ind w:left="498" w:right="-24"/>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0574A">
              <w:rPr>
                <w:rFonts w:asciiTheme="minorHAnsi" w:hAnsiTheme="minorHAnsi"/>
              </w:rPr>
              <w:t>El alcance del GHS es mucho más amplio que el del actual sistema WHMIS, por lo que cualquier decisión de implementación requiere de cambios significativos en la legislación provincial y federal en cuanto a clasificación, etiquetado y hojas de seguridad.</w:t>
            </w:r>
          </w:p>
        </w:tc>
      </w:tr>
      <w:tr w:rsidR="00B54810" w:rsidRPr="0000574A" w:rsidTr="00AB22A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83" w:type="pct"/>
            <w:tcBorders>
              <w:top w:val="none" w:sz="0" w:space="0" w:color="auto"/>
              <w:left w:val="none" w:sz="0" w:space="0" w:color="auto"/>
              <w:bottom w:val="none" w:sz="0" w:space="0" w:color="auto"/>
            </w:tcBorders>
          </w:tcPr>
          <w:p w:rsidR="00B54810" w:rsidRPr="0000574A" w:rsidRDefault="00B54810" w:rsidP="00606EAC">
            <w:pPr>
              <w:spacing w:after="0" w:line="240" w:lineRule="auto"/>
              <w:ind w:right="368"/>
              <w:jc w:val="left"/>
              <w:rPr>
                <w:rFonts w:asciiTheme="minorHAnsi" w:hAnsiTheme="minorHAnsi"/>
              </w:rPr>
            </w:pPr>
            <w:r w:rsidRPr="0000574A">
              <w:rPr>
                <w:rFonts w:asciiTheme="minorHAnsi" w:hAnsiTheme="minorHAnsi"/>
              </w:rPr>
              <w:t>Estrategia de implementación</w:t>
            </w:r>
          </w:p>
        </w:tc>
        <w:tc>
          <w:tcPr>
            <w:tcW w:w="3917" w:type="pct"/>
            <w:tcBorders>
              <w:top w:val="none" w:sz="0" w:space="0" w:color="auto"/>
              <w:bottom w:val="none" w:sz="0" w:space="0" w:color="auto"/>
              <w:right w:val="none" w:sz="0" w:space="0" w:color="auto"/>
            </w:tcBorders>
          </w:tcPr>
          <w:p w:rsidR="00B54810" w:rsidRPr="0000574A" w:rsidRDefault="00B54810" w:rsidP="00606EAC">
            <w:pPr>
              <w:spacing w:after="0" w:line="240" w:lineRule="auto"/>
              <w:ind w:right="-24"/>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u w:val="single"/>
              </w:rPr>
              <w:t>Transporte</w:t>
            </w:r>
            <w:r w:rsidRPr="0000574A">
              <w:rPr>
                <w:rFonts w:asciiTheme="minorHAnsi" w:hAnsiTheme="minorHAnsi"/>
              </w:rPr>
              <w:t xml:space="preserve">: </w:t>
            </w:r>
          </w:p>
          <w:p w:rsidR="00B54810" w:rsidRPr="0000574A" w:rsidRDefault="00B54810" w:rsidP="00606EAC">
            <w:pPr>
              <w:spacing w:after="0" w:line="240" w:lineRule="auto"/>
              <w:ind w:right="-24"/>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rPr>
              <w:t>El GHS se implementa a través de la revisión de las regulaciones de Transporte de Mercancías Peligrosas de Canadá</w:t>
            </w:r>
            <w:r>
              <w:rPr>
                <w:rFonts w:asciiTheme="minorHAnsi" w:hAnsiTheme="minorHAnsi"/>
              </w:rPr>
              <w:t>,</w:t>
            </w:r>
            <w:r w:rsidRPr="0000574A">
              <w:rPr>
                <w:rFonts w:asciiTheme="minorHAnsi" w:hAnsiTheme="minorHAnsi"/>
              </w:rPr>
              <w:t xml:space="preserve"> alineada con el Reglamento Modelo de la</w:t>
            </w:r>
            <w:r>
              <w:rPr>
                <w:rFonts w:asciiTheme="minorHAnsi" w:hAnsiTheme="minorHAnsi"/>
              </w:rPr>
              <w:t xml:space="preserve"> ONU</w:t>
            </w:r>
            <w:r w:rsidRPr="0000574A">
              <w:rPr>
                <w:rFonts w:asciiTheme="minorHAnsi" w:hAnsiTheme="minorHAnsi"/>
              </w:rPr>
              <w:t xml:space="preserve"> sobre transporte de productos peligrosos.</w:t>
            </w:r>
          </w:p>
          <w:p w:rsidR="00B54810" w:rsidRPr="0000574A" w:rsidRDefault="00B54810" w:rsidP="00606EAC">
            <w:pPr>
              <w:spacing w:after="0" w:line="240" w:lineRule="auto"/>
              <w:ind w:right="-24"/>
              <w:cnfStyle w:val="000000100000" w:firstRow="0" w:lastRow="0" w:firstColumn="0" w:lastColumn="0" w:oddVBand="0" w:evenVBand="0" w:oddHBand="1" w:evenHBand="0" w:firstRowFirstColumn="0" w:firstRowLastColumn="0" w:lastRowFirstColumn="0" w:lastRowLastColumn="0"/>
              <w:rPr>
                <w:rFonts w:asciiTheme="minorHAnsi" w:hAnsiTheme="minorHAnsi"/>
                <w:u w:val="single"/>
              </w:rPr>
            </w:pPr>
          </w:p>
          <w:p w:rsidR="00B54810" w:rsidRPr="0000574A" w:rsidRDefault="00B54810" w:rsidP="00606EAC">
            <w:pPr>
              <w:spacing w:after="0" w:line="240" w:lineRule="auto"/>
              <w:ind w:right="-24"/>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u w:val="single"/>
              </w:rPr>
              <w:t>2013</w:t>
            </w:r>
            <w:r w:rsidRPr="0000574A">
              <w:rPr>
                <w:rFonts w:asciiTheme="minorHAnsi" w:hAnsiTheme="minorHAnsi"/>
              </w:rPr>
              <w:t xml:space="preserve">: Consulta sobre comentarios a propuesta que deroga y reemplaza a la regulación actual “Hazard Products Act” (HPA). </w:t>
            </w:r>
          </w:p>
          <w:p w:rsidR="00B54810" w:rsidRDefault="00B54810" w:rsidP="00606EAC">
            <w:pPr>
              <w:spacing w:after="0" w:line="240" w:lineRule="auto"/>
              <w:ind w:right="-24"/>
              <w:cnfStyle w:val="000000100000" w:firstRow="0" w:lastRow="0" w:firstColumn="0" w:lastColumn="0" w:oddVBand="0" w:evenVBand="0" w:oddHBand="1" w:evenHBand="0" w:firstRowFirstColumn="0" w:firstRowLastColumn="0" w:lastRowFirstColumn="0" w:lastRowLastColumn="0"/>
              <w:rPr>
                <w:rFonts w:asciiTheme="minorHAnsi" w:hAnsiTheme="minorHAnsi"/>
                <w:u w:val="single"/>
              </w:rPr>
            </w:pPr>
          </w:p>
          <w:p w:rsidR="00B54810" w:rsidRPr="0000574A" w:rsidRDefault="00B54810" w:rsidP="00606EAC">
            <w:pPr>
              <w:spacing w:after="0" w:line="240" w:lineRule="auto"/>
              <w:ind w:right="-24"/>
              <w:cnfStyle w:val="000000100000" w:firstRow="0" w:lastRow="0" w:firstColumn="0" w:lastColumn="0" w:oddVBand="0" w:evenVBand="0" w:oddHBand="1" w:evenHBand="0" w:firstRowFirstColumn="0" w:firstRowLastColumn="0" w:lastRowFirstColumn="0" w:lastRowLastColumn="0"/>
              <w:rPr>
                <w:rFonts w:asciiTheme="minorHAnsi" w:hAnsiTheme="minorHAnsi"/>
                <w:u w:val="single"/>
              </w:rPr>
            </w:pPr>
            <w:r w:rsidRPr="0000574A">
              <w:rPr>
                <w:rFonts w:asciiTheme="minorHAnsi" w:hAnsiTheme="minorHAnsi"/>
                <w:u w:val="single"/>
              </w:rPr>
              <w:t>Industria:</w:t>
            </w:r>
          </w:p>
          <w:p w:rsidR="00B54810" w:rsidRPr="0000574A" w:rsidRDefault="00B54810" w:rsidP="0094590E">
            <w:pPr>
              <w:pStyle w:val="ListParagraph"/>
              <w:numPr>
                <w:ilvl w:val="0"/>
                <w:numId w:val="11"/>
              </w:numPr>
              <w:spacing w:after="0" w:line="240" w:lineRule="auto"/>
              <w:ind w:left="356" w:right="-24"/>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rPr>
              <w:t xml:space="preserve">Enmienda a la </w:t>
            </w:r>
            <w:r w:rsidRPr="0000574A">
              <w:rPr>
                <w:rFonts w:asciiTheme="minorHAnsi" w:hAnsiTheme="minorHAnsi"/>
                <w:b/>
              </w:rPr>
              <w:t xml:space="preserve">Regulación de Productos Controlados (RPC) del HPA </w:t>
            </w:r>
            <w:r w:rsidRPr="0000574A">
              <w:rPr>
                <w:rFonts w:asciiTheme="minorHAnsi" w:hAnsiTheme="minorHAnsi"/>
              </w:rPr>
              <w:t>para alinear criterios de clasificación de peligro, requerimientos de etiquetado y de hojas de seguridad. Revocación de RPC por nueva Regulación denominada “Hazardous Product Regulation” (HPR).</w:t>
            </w:r>
          </w:p>
        </w:tc>
      </w:tr>
      <w:tr w:rsidR="00B54810" w:rsidRPr="0000574A" w:rsidTr="00AB22A8">
        <w:trPr>
          <w:jc w:val="center"/>
        </w:trPr>
        <w:tc>
          <w:tcPr>
            <w:cnfStyle w:val="001000000000" w:firstRow="0" w:lastRow="0" w:firstColumn="1" w:lastColumn="0" w:oddVBand="0" w:evenVBand="0" w:oddHBand="0" w:evenHBand="0" w:firstRowFirstColumn="0" w:firstRowLastColumn="0" w:lastRowFirstColumn="0" w:lastRowLastColumn="0"/>
            <w:tcW w:w="1083" w:type="pct"/>
          </w:tcPr>
          <w:p w:rsidR="00B54810" w:rsidRPr="0000574A" w:rsidRDefault="00B54810" w:rsidP="00606EAC">
            <w:pPr>
              <w:spacing w:after="0" w:line="240" w:lineRule="auto"/>
              <w:ind w:right="368"/>
              <w:rPr>
                <w:rFonts w:asciiTheme="minorHAnsi" w:hAnsiTheme="minorHAnsi"/>
              </w:rPr>
            </w:pPr>
            <w:r w:rsidRPr="0000574A">
              <w:rPr>
                <w:rFonts w:asciiTheme="minorHAnsi" w:hAnsiTheme="minorHAnsi"/>
              </w:rPr>
              <w:t>Resultados</w:t>
            </w:r>
          </w:p>
        </w:tc>
        <w:tc>
          <w:tcPr>
            <w:tcW w:w="3917" w:type="pct"/>
          </w:tcPr>
          <w:p w:rsidR="00B54810" w:rsidRPr="0000574A" w:rsidRDefault="00B54810" w:rsidP="0094590E">
            <w:pPr>
              <w:pStyle w:val="ListParagraph"/>
              <w:numPr>
                <w:ilvl w:val="0"/>
                <w:numId w:val="11"/>
              </w:numPr>
              <w:spacing w:after="0" w:line="240" w:lineRule="auto"/>
              <w:ind w:left="356" w:right="-24"/>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0574A">
              <w:rPr>
                <w:rFonts w:asciiTheme="minorHAnsi" w:hAnsiTheme="minorHAnsi"/>
              </w:rPr>
              <w:t>Entre las principales inquietudes con respecto a la implementación se observaron falta de consenso en cuanto a cuáles clases y categorías de peligro debían ser adoptadas y si esto afectaría el comercio con otros países y preocupación por la diferencia en la versión del GHS adoptada en los demás países que podría afectar la armonización mundial</w:t>
            </w:r>
            <w:r>
              <w:rPr>
                <w:rFonts w:asciiTheme="minorHAnsi" w:hAnsiTheme="minorHAnsi"/>
              </w:rPr>
              <w:t>.</w:t>
            </w:r>
          </w:p>
          <w:p w:rsidR="00B54810" w:rsidRPr="0000574A" w:rsidRDefault="00B54810" w:rsidP="0094590E">
            <w:pPr>
              <w:pStyle w:val="ListParagraph"/>
              <w:numPr>
                <w:ilvl w:val="0"/>
                <w:numId w:val="11"/>
              </w:numPr>
              <w:spacing w:after="0" w:line="240" w:lineRule="auto"/>
              <w:ind w:left="356" w:right="-24"/>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0574A">
              <w:rPr>
                <w:rFonts w:asciiTheme="minorHAnsi" w:hAnsiTheme="minorHAnsi"/>
              </w:rPr>
              <w:t>Se espera que la nueva Regulación sea aprobado durante el año 2014</w:t>
            </w:r>
            <w:r>
              <w:rPr>
                <w:rFonts w:asciiTheme="minorHAnsi" w:hAnsiTheme="minorHAnsi"/>
              </w:rPr>
              <w:t>.</w:t>
            </w:r>
          </w:p>
          <w:p w:rsidR="00B54810" w:rsidRPr="0000574A" w:rsidRDefault="00B54810" w:rsidP="0094590E">
            <w:pPr>
              <w:pStyle w:val="ListParagraph"/>
              <w:numPr>
                <w:ilvl w:val="0"/>
                <w:numId w:val="11"/>
              </w:numPr>
              <w:spacing w:after="0" w:line="240" w:lineRule="auto"/>
              <w:ind w:left="356" w:right="-24"/>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0574A">
              <w:rPr>
                <w:rFonts w:asciiTheme="minorHAnsi" w:hAnsiTheme="minorHAnsi"/>
              </w:rPr>
              <w:t>Fecha esperada para entrada en vigencia: Junio 2015 en sector industria</w:t>
            </w:r>
            <w:r>
              <w:rPr>
                <w:rFonts w:asciiTheme="minorHAnsi" w:hAnsiTheme="minorHAnsi"/>
              </w:rPr>
              <w:t>.</w:t>
            </w:r>
          </w:p>
          <w:p w:rsidR="00B54810" w:rsidRPr="0000574A" w:rsidRDefault="00B54810" w:rsidP="0094590E">
            <w:pPr>
              <w:pStyle w:val="ListParagraph"/>
              <w:numPr>
                <w:ilvl w:val="0"/>
                <w:numId w:val="11"/>
              </w:numPr>
              <w:spacing w:after="0" w:line="240" w:lineRule="auto"/>
              <w:ind w:left="356" w:right="-24"/>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0574A">
              <w:rPr>
                <w:rFonts w:asciiTheme="minorHAnsi" w:hAnsiTheme="minorHAnsi"/>
              </w:rPr>
              <w:t>Período de transición aún no está determinado</w:t>
            </w:r>
            <w:r>
              <w:rPr>
                <w:rFonts w:asciiTheme="minorHAnsi" w:hAnsiTheme="minorHAnsi"/>
              </w:rPr>
              <w:t>.</w:t>
            </w:r>
          </w:p>
        </w:tc>
      </w:tr>
    </w:tbl>
    <w:p w:rsidR="006831E0" w:rsidRDefault="006831E0" w:rsidP="006831E0">
      <w:pPr>
        <w:pStyle w:val="Heading3"/>
        <w:numPr>
          <w:ilvl w:val="0"/>
          <w:numId w:val="0"/>
        </w:numPr>
        <w:ind w:left="709"/>
      </w:pPr>
      <w:bookmarkStart w:id="73" w:name="_Toc388552089"/>
      <w:bookmarkStart w:id="74" w:name="_Toc418168879"/>
    </w:p>
    <w:p w:rsidR="00B54810" w:rsidRDefault="00B54810" w:rsidP="00872364">
      <w:pPr>
        <w:pStyle w:val="Heading3"/>
        <w:ind w:left="709"/>
      </w:pPr>
      <w:r>
        <w:t>Asia</w:t>
      </w:r>
      <w:bookmarkEnd w:id="73"/>
      <w:bookmarkEnd w:id="74"/>
    </w:p>
    <w:p w:rsidR="006D0FB7" w:rsidRDefault="00B54810" w:rsidP="00872364">
      <w:pPr>
        <w:spacing w:line="240" w:lineRule="auto"/>
        <w:jc w:val="both"/>
      </w:pPr>
      <w:r>
        <w:t>Dentro de Asia, los países de las zonas Sur y Este presentan mayores avances en la implementación del GHS, por ejemplo: China, Indonesia, Japón, Corea, Filipinas, Singapur, Tailandia, Vietnam y Malasia</w:t>
      </w:r>
      <w:r w:rsidR="0094590E">
        <w:t>, los cuales</w:t>
      </w:r>
      <w:r>
        <w:t xml:space="preserve"> ya cuentan con regulación aprobada y </w:t>
      </w:r>
      <w:r w:rsidR="0094590E">
        <w:t xml:space="preserve">donde </w:t>
      </w:r>
      <w:r>
        <w:t>el sistema GHS se encuentra completamente implementado. En esta oportunidad, se presentan los aspectos técnicos y legales de las estrategias de Japón y Corea, que fueron parte de los primeros países en esta zona que implementaron el GHS y de los cuales se e</w:t>
      </w:r>
      <w:r w:rsidR="006831E0">
        <w:t>ncontró información más amplia.</w:t>
      </w:r>
    </w:p>
    <w:p w:rsidR="00B54810" w:rsidRPr="002D4486" w:rsidRDefault="00677A8A" w:rsidP="00872364">
      <w:pPr>
        <w:pStyle w:val="Heading4"/>
        <w:spacing w:before="0" w:after="180"/>
        <w:ind w:left="851" w:hanging="862"/>
        <w:jc w:val="both"/>
        <w:rPr>
          <w:b/>
          <w:i/>
        </w:rPr>
      </w:pPr>
      <w:bookmarkStart w:id="75" w:name="_Toc388552090"/>
      <w:r w:rsidRPr="002D4486">
        <w:rPr>
          <w:b/>
          <w:i/>
        </w:rPr>
        <w:t xml:space="preserve"> </w:t>
      </w:r>
      <w:bookmarkStart w:id="76" w:name="_Toc418168880"/>
      <w:r w:rsidR="00B54810" w:rsidRPr="002D4486">
        <w:rPr>
          <w:b/>
          <w:i/>
          <w:caps w:val="0"/>
        </w:rPr>
        <w:t>Japón</w:t>
      </w:r>
      <w:bookmarkEnd w:id="75"/>
      <w:bookmarkEnd w:id="76"/>
    </w:p>
    <w:tbl>
      <w:tblPr>
        <w:tblStyle w:val="Listaclara-nfasis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773"/>
      </w:tblGrid>
      <w:tr w:rsidR="00B54810" w:rsidRPr="0000574A" w:rsidTr="00AB22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pct"/>
          </w:tcPr>
          <w:p w:rsidR="00B54810" w:rsidRPr="0000574A" w:rsidRDefault="00B54810" w:rsidP="00606EAC">
            <w:pPr>
              <w:spacing w:after="0" w:line="240" w:lineRule="auto"/>
              <w:ind w:right="368"/>
              <w:rPr>
                <w:rFonts w:asciiTheme="minorHAnsi" w:hAnsiTheme="minorHAnsi"/>
              </w:rPr>
            </w:pPr>
            <w:r w:rsidRPr="0000574A">
              <w:rPr>
                <w:rFonts w:asciiTheme="minorHAnsi" w:hAnsiTheme="minorHAnsi"/>
              </w:rPr>
              <w:t>Encargado</w:t>
            </w:r>
          </w:p>
        </w:tc>
        <w:tc>
          <w:tcPr>
            <w:tcW w:w="3923" w:type="pct"/>
          </w:tcPr>
          <w:p w:rsidR="00B54810" w:rsidRPr="0000574A" w:rsidRDefault="00B54810" w:rsidP="00606EAC">
            <w:pPr>
              <w:spacing w:after="0" w:line="240" w:lineRule="auto"/>
              <w:ind w:right="368"/>
              <w:cnfStyle w:val="100000000000" w:firstRow="1" w:lastRow="0" w:firstColumn="0" w:lastColumn="0" w:oddVBand="0" w:evenVBand="0" w:oddHBand="0" w:evenHBand="0" w:firstRowFirstColumn="0" w:firstRowLastColumn="0" w:lastRowFirstColumn="0" w:lastRowLastColumn="0"/>
              <w:rPr>
                <w:rFonts w:asciiTheme="minorHAnsi" w:hAnsiTheme="minorHAnsi"/>
              </w:rPr>
            </w:pPr>
            <w:r w:rsidRPr="0000574A">
              <w:rPr>
                <w:rFonts w:asciiTheme="minorHAnsi" w:hAnsiTheme="minorHAnsi"/>
              </w:rPr>
              <w:t>Ministerio de Salud, Trabajo y Bienestar (MHLW)</w:t>
            </w:r>
          </w:p>
        </w:tc>
      </w:tr>
      <w:tr w:rsidR="00B54810" w:rsidRPr="0000574A" w:rsidTr="00AB22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pct"/>
            <w:tcBorders>
              <w:top w:val="none" w:sz="0" w:space="0" w:color="auto"/>
              <w:left w:val="none" w:sz="0" w:space="0" w:color="auto"/>
              <w:bottom w:val="none" w:sz="0" w:space="0" w:color="auto"/>
            </w:tcBorders>
          </w:tcPr>
          <w:p w:rsidR="00B54810" w:rsidRPr="0000574A" w:rsidRDefault="00B54810" w:rsidP="00606EAC">
            <w:pPr>
              <w:spacing w:after="0" w:line="240" w:lineRule="auto"/>
              <w:ind w:right="368"/>
              <w:rPr>
                <w:rFonts w:asciiTheme="minorHAnsi" w:hAnsiTheme="minorHAnsi"/>
              </w:rPr>
            </w:pPr>
            <w:r w:rsidRPr="0000574A">
              <w:rPr>
                <w:rFonts w:asciiTheme="minorHAnsi" w:hAnsiTheme="minorHAnsi"/>
              </w:rPr>
              <w:t xml:space="preserve">Principales participantes </w:t>
            </w:r>
          </w:p>
        </w:tc>
        <w:tc>
          <w:tcPr>
            <w:tcW w:w="3923" w:type="pct"/>
            <w:tcBorders>
              <w:top w:val="none" w:sz="0" w:space="0" w:color="auto"/>
              <w:bottom w:val="none" w:sz="0" w:space="0" w:color="auto"/>
              <w:right w:val="none" w:sz="0" w:space="0" w:color="auto"/>
            </w:tcBorders>
          </w:tcPr>
          <w:p w:rsidR="00B54810" w:rsidRPr="0000574A" w:rsidRDefault="00B54810" w:rsidP="00606EAC">
            <w:pPr>
              <w:spacing w:after="0" w:line="240" w:lineRule="auto"/>
              <w:ind w:right="33"/>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rPr>
              <w:t>Ministerio de Economía, Comercio e Industria, Ministerio de Medio Ambiente, Ministerio de Tierra, Infraestructura, Transporte y Turismo.</w:t>
            </w:r>
          </w:p>
        </w:tc>
      </w:tr>
      <w:tr w:rsidR="00B54810" w:rsidRPr="0000574A" w:rsidTr="00AB22A8">
        <w:tc>
          <w:tcPr>
            <w:cnfStyle w:val="001000000000" w:firstRow="0" w:lastRow="0" w:firstColumn="1" w:lastColumn="0" w:oddVBand="0" w:evenVBand="0" w:oddHBand="0" w:evenHBand="0" w:firstRowFirstColumn="0" w:firstRowLastColumn="0" w:lastRowFirstColumn="0" w:lastRowLastColumn="0"/>
            <w:tcW w:w="1077" w:type="pct"/>
          </w:tcPr>
          <w:p w:rsidR="00B54810" w:rsidRPr="0000574A" w:rsidRDefault="00B54810" w:rsidP="00606EAC">
            <w:pPr>
              <w:spacing w:after="0" w:line="240" w:lineRule="auto"/>
              <w:ind w:right="368"/>
              <w:rPr>
                <w:rFonts w:asciiTheme="minorHAnsi" w:hAnsiTheme="minorHAnsi"/>
              </w:rPr>
            </w:pPr>
            <w:r w:rsidRPr="0000574A">
              <w:rPr>
                <w:rFonts w:asciiTheme="minorHAnsi" w:hAnsiTheme="minorHAnsi"/>
              </w:rPr>
              <w:t>Antecedentes</w:t>
            </w:r>
          </w:p>
        </w:tc>
        <w:tc>
          <w:tcPr>
            <w:tcW w:w="3923" w:type="pct"/>
          </w:tcPr>
          <w:p w:rsidR="00B54810" w:rsidRPr="0000574A" w:rsidRDefault="00B54810" w:rsidP="00606EAC">
            <w:pPr>
              <w:spacing w:after="0" w:line="240" w:lineRule="auto"/>
              <w:ind w:right="33"/>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0574A">
              <w:rPr>
                <w:rFonts w:asciiTheme="minorHAnsi" w:hAnsiTheme="minorHAnsi"/>
                <w:u w:val="single"/>
              </w:rPr>
              <w:t>2001-2004</w:t>
            </w:r>
            <w:r w:rsidRPr="0000574A">
              <w:rPr>
                <w:rFonts w:asciiTheme="minorHAnsi" w:hAnsiTheme="minorHAnsi"/>
              </w:rPr>
              <w:t>: Creación de Comité interministerial para implementación de GHS</w:t>
            </w:r>
            <w:r>
              <w:rPr>
                <w:rFonts w:asciiTheme="minorHAnsi" w:hAnsiTheme="minorHAnsi"/>
              </w:rPr>
              <w:t>.</w:t>
            </w:r>
          </w:p>
          <w:p w:rsidR="00B54810" w:rsidRPr="0000574A" w:rsidRDefault="00B54810" w:rsidP="0094590E">
            <w:pPr>
              <w:pStyle w:val="ListParagraph"/>
              <w:numPr>
                <w:ilvl w:val="0"/>
                <w:numId w:val="11"/>
              </w:numPr>
              <w:spacing w:after="0" w:line="240" w:lineRule="auto"/>
              <w:ind w:left="368" w:right="33"/>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0574A">
              <w:rPr>
                <w:rFonts w:asciiTheme="minorHAnsi" w:hAnsiTheme="minorHAnsi"/>
              </w:rPr>
              <w:t>Análisis de situación y vacíos y publicación de GHS en japonés</w:t>
            </w:r>
            <w:r>
              <w:rPr>
                <w:rFonts w:asciiTheme="minorHAnsi" w:hAnsiTheme="minorHAnsi"/>
              </w:rPr>
              <w:t>.</w:t>
            </w:r>
          </w:p>
          <w:p w:rsidR="00B54810" w:rsidRPr="0000574A" w:rsidRDefault="00B54810" w:rsidP="0094590E">
            <w:pPr>
              <w:pStyle w:val="ListParagraph"/>
              <w:numPr>
                <w:ilvl w:val="0"/>
                <w:numId w:val="11"/>
              </w:numPr>
              <w:spacing w:after="0" w:line="240" w:lineRule="auto"/>
              <w:ind w:left="368" w:right="33"/>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0574A">
              <w:rPr>
                <w:rFonts w:asciiTheme="minorHAnsi" w:hAnsiTheme="minorHAnsi"/>
              </w:rPr>
              <w:t>Seminarios de concientización y capacitación a nivel nacional y regional</w:t>
            </w:r>
            <w:r>
              <w:rPr>
                <w:rFonts w:asciiTheme="minorHAnsi" w:hAnsiTheme="minorHAnsi"/>
              </w:rPr>
              <w:t>.</w:t>
            </w:r>
          </w:p>
          <w:p w:rsidR="00B54810" w:rsidRPr="0000574A" w:rsidRDefault="00B54810" w:rsidP="0094590E">
            <w:pPr>
              <w:pStyle w:val="ListParagraph"/>
              <w:numPr>
                <w:ilvl w:val="0"/>
                <w:numId w:val="11"/>
              </w:numPr>
              <w:spacing w:after="0" w:line="240" w:lineRule="auto"/>
              <w:ind w:left="368" w:right="33"/>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0574A">
              <w:rPr>
                <w:rFonts w:asciiTheme="minorHAnsi" w:hAnsiTheme="minorHAnsi"/>
              </w:rPr>
              <w:t>Acuerdo de cooperación para implementación de GHS con Corea y China (Tripartite Environmental Ministers Meeting, TEMM)</w:t>
            </w:r>
            <w:r>
              <w:rPr>
                <w:rFonts w:asciiTheme="minorHAnsi" w:hAnsiTheme="minorHAnsi"/>
              </w:rPr>
              <w:t>.</w:t>
            </w:r>
          </w:p>
        </w:tc>
      </w:tr>
      <w:tr w:rsidR="00B54810" w:rsidRPr="0000574A" w:rsidTr="00AB22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pct"/>
            <w:tcBorders>
              <w:top w:val="none" w:sz="0" w:space="0" w:color="auto"/>
              <w:left w:val="none" w:sz="0" w:space="0" w:color="auto"/>
              <w:bottom w:val="none" w:sz="0" w:space="0" w:color="auto"/>
            </w:tcBorders>
          </w:tcPr>
          <w:p w:rsidR="00B54810" w:rsidRPr="0000574A" w:rsidRDefault="00B54810" w:rsidP="00606EAC">
            <w:pPr>
              <w:spacing w:after="0" w:line="240" w:lineRule="auto"/>
              <w:ind w:right="368"/>
              <w:jc w:val="left"/>
              <w:rPr>
                <w:rFonts w:asciiTheme="minorHAnsi" w:hAnsiTheme="minorHAnsi"/>
              </w:rPr>
            </w:pPr>
            <w:r w:rsidRPr="0000574A">
              <w:rPr>
                <w:rFonts w:asciiTheme="minorHAnsi" w:hAnsiTheme="minorHAnsi"/>
              </w:rPr>
              <w:t>Estrategia de implementación</w:t>
            </w:r>
          </w:p>
        </w:tc>
        <w:tc>
          <w:tcPr>
            <w:tcW w:w="3923" w:type="pct"/>
            <w:tcBorders>
              <w:top w:val="none" w:sz="0" w:space="0" w:color="auto"/>
              <w:bottom w:val="none" w:sz="0" w:space="0" w:color="auto"/>
              <w:right w:val="none" w:sz="0" w:space="0" w:color="auto"/>
            </w:tcBorders>
          </w:tcPr>
          <w:p w:rsidR="00B54810" w:rsidRDefault="00B54810" w:rsidP="00606EAC">
            <w:pPr>
              <w:spacing w:after="0" w:line="240" w:lineRule="auto"/>
              <w:ind w:right="33"/>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u w:val="single"/>
              </w:rPr>
              <w:t>Sector Transporte (Marítimo y Aéreo)</w:t>
            </w:r>
            <w:r w:rsidRPr="0000574A">
              <w:rPr>
                <w:rFonts w:asciiTheme="minorHAnsi" w:hAnsiTheme="minorHAnsi"/>
              </w:rPr>
              <w:t xml:space="preserve">: </w:t>
            </w:r>
          </w:p>
          <w:p w:rsidR="00B54810" w:rsidRPr="0000574A" w:rsidRDefault="00B54810" w:rsidP="00606EAC">
            <w:pPr>
              <w:spacing w:after="0" w:line="240" w:lineRule="auto"/>
              <w:ind w:right="33"/>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rPr>
              <w:t>A nivel nacional e internacional, la normativa vigente se encuentra basada en el Reglamento Modelo de las Naciones Unidas sobre Transporte de Productos Peligrosos que se encuentra alineada con GHS.</w:t>
            </w:r>
          </w:p>
          <w:p w:rsidR="00B54810" w:rsidRDefault="00B54810" w:rsidP="00606EAC">
            <w:pPr>
              <w:spacing w:after="0" w:line="240" w:lineRule="auto"/>
              <w:ind w:right="33"/>
              <w:cnfStyle w:val="000000100000" w:firstRow="0" w:lastRow="0" w:firstColumn="0" w:lastColumn="0" w:oddVBand="0" w:evenVBand="0" w:oddHBand="1" w:evenHBand="0" w:firstRowFirstColumn="0" w:firstRowLastColumn="0" w:lastRowFirstColumn="0" w:lastRowLastColumn="0"/>
              <w:rPr>
                <w:rFonts w:asciiTheme="minorHAnsi" w:hAnsiTheme="minorHAnsi"/>
                <w:u w:val="single"/>
              </w:rPr>
            </w:pPr>
          </w:p>
          <w:p w:rsidR="00B54810" w:rsidRPr="0000574A" w:rsidRDefault="00B54810" w:rsidP="00606EAC">
            <w:pPr>
              <w:spacing w:after="0" w:line="240" w:lineRule="auto"/>
              <w:ind w:right="33"/>
              <w:cnfStyle w:val="000000100000" w:firstRow="0" w:lastRow="0" w:firstColumn="0" w:lastColumn="0" w:oddVBand="0" w:evenVBand="0" w:oddHBand="1" w:evenHBand="0" w:firstRowFirstColumn="0" w:firstRowLastColumn="0" w:lastRowFirstColumn="0" w:lastRowLastColumn="0"/>
              <w:rPr>
                <w:rFonts w:asciiTheme="minorHAnsi" w:hAnsiTheme="minorHAnsi"/>
                <w:u w:val="single"/>
              </w:rPr>
            </w:pPr>
            <w:r w:rsidRPr="0000574A">
              <w:rPr>
                <w:rFonts w:asciiTheme="minorHAnsi" w:hAnsiTheme="minorHAnsi"/>
                <w:u w:val="single"/>
              </w:rPr>
              <w:t>Sector Industria:</w:t>
            </w:r>
          </w:p>
          <w:p w:rsidR="00B54810" w:rsidRPr="0000574A" w:rsidRDefault="00B54810" w:rsidP="0094590E">
            <w:pPr>
              <w:pStyle w:val="ListParagraph"/>
              <w:numPr>
                <w:ilvl w:val="0"/>
                <w:numId w:val="18"/>
              </w:numPr>
              <w:spacing w:after="0" w:line="240" w:lineRule="auto"/>
              <w:ind w:left="368" w:right="33"/>
              <w:cnfStyle w:val="000000100000" w:firstRow="0" w:lastRow="0" w:firstColumn="0" w:lastColumn="0" w:oddVBand="0" w:evenVBand="0" w:oddHBand="1" w:evenHBand="0" w:firstRowFirstColumn="0" w:firstRowLastColumn="0" w:lastRowFirstColumn="0" w:lastRowLastColumn="0"/>
              <w:rPr>
                <w:rFonts w:asciiTheme="minorHAnsi" w:hAnsiTheme="minorHAnsi"/>
                <w:u w:val="single"/>
              </w:rPr>
            </w:pPr>
            <w:r w:rsidRPr="0000574A">
              <w:rPr>
                <w:rFonts w:asciiTheme="minorHAnsi" w:hAnsiTheme="minorHAnsi"/>
                <w:u w:val="single"/>
              </w:rPr>
              <w:t>Modificación de “Ley sobre Seguridad y Salud Industrial” (ISHL)</w:t>
            </w:r>
            <w:r w:rsidRPr="0000574A">
              <w:rPr>
                <w:rFonts w:asciiTheme="minorHAnsi" w:hAnsiTheme="minorHAnsi"/>
              </w:rPr>
              <w:t xml:space="preserve">. El </w:t>
            </w:r>
            <w:r w:rsidRPr="008E7A80">
              <w:rPr>
                <w:rFonts w:asciiTheme="minorHAnsi" w:hAnsiTheme="minorHAnsi"/>
              </w:rPr>
              <w:t>MHLW</w:t>
            </w:r>
            <w:r>
              <w:rPr>
                <w:rFonts w:asciiTheme="minorHAnsi" w:hAnsiTheme="minorHAnsi"/>
              </w:rPr>
              <w:t xml:space="preserve"> (Ministerio de Salud, Trabajo y Bienestar)</w:t>
            </w:r>
            <w:r w:rsidRPr="0000574A">
              <w:rPr>
                <w:rFonts w:asciiTheme="minorHAnsi" w:hAnsiTheme="minorHAnsi"/>
              </w:rPr>
              <w:t xml:space="preserve"> publica normas nacionales (Japanese Industrial Standards, JIS) para la clasificación, etiquetado y hojas de seguridad para sustancias químicas, basadas en GHS: </w:t>
            </w:r>
            <w:r w:rsidRPr="0000574A">
              <w:rPr>
                <w:rFonts w:asciiTheme="minorHAnsi" w:hAnsiTheme="minorHAnsi"/>
                <w:b/>
              </w:rPr>
              <w:t>JIS Z 7252:2009, JIS Z 7253:2012</w:t>
            </w:r>
            <w:r w:rsidRPr="0000574A">
              <w:rPr>
                <w:rFonts w:asciiTheme="minorHAnsi" w:hAnsiTheme="minorHAnsi"/>
              </w:rPr>
              <w:t xml:space="preserve">, sin embargo, sólo aplica a cierto número de sustancias,  Etiquetas: 100, Hojas de Seguridad: 640. </w:t>
            </w:r>
          </w:p>
          <w:p w:rsidR="00B54810" w:rsidRPr="0000574A" w:rsidRDefault="00B54810" w:rsidP="0094590E">
            <w:pPr>
              <w:pStyle w:val="ListParagraph"/>
              <w:numPr>
                <w:ilvl w:val="0"/>
                <w:numId w:val="18"/>
              </w:numPr>
              <w:spacing w:after="0" w:line="240" w:lineRule="auto"/>
              <w:ind w:left="368" w:right="33"/>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rPr>
              <w:t>Período de transición: Hasta 31 diciembre 2010</w:t>
            </w:r>
            <w:r>
              <w:rPr>
                <w:rFonts w:asciiTheme="minorHAnsi" w:hAnsiTheme="minorHAnsi"/>
              </w:rPr>
              <w:t>.</w:t>
            </w:r>
          </w:p>
          <w:p w:rsidR="00B54810" w:rsidRPr="0000574A" w:rsidRDefault="00B54810" w:rsidP="0094590E">
            <w:pPr>
              <w:pStyle w:val="ListParagraph"/>
              <w:numPr>
                <w:ilvl w:val="0"/>
                <w:numId w:val="18"/>
              </w:numPr>
              <w:spacing w:after="0" w:line="240" w:lineRule="auto"/>
              <w:ind w:left="368" w:right="33"/>
              <w:cnfStyle w:val="000000100000" w:firstRow="0" w:lastRow="0" w:firstColumn="0" w:lastColumn="0" w:oddVBand="0" w:evenVBand="0" w:oddHBand="1" w:evenHBand="0" w:firstRowFirstColumn="0" w:firstRowLastColumn="0" w:lastRowFirstColumn="0" w:lastRowLastColumn="0"/>
              <w:rPr>
                <w:rFonts w:asciiTheme="minorHAnsi" w:hAnsiTheme="minorHAnsi"/>
                <w:u w:val="single"/>
              </w:rPr>
            </w:pPr>
            <w:r w:rsidRPr="0000574A">
              <w:rPr>
                <w:rFonts w:asciiTheme="minorHAnsi" w:hAnsiTheme="minorHAnsi"/>
                <w:u w:val="single"/>
              </w:rPr>
              <w:t>Modificación de “Ley sobre emisiones de contam</w:t>
            </w:r>
            <w:r>
              <w:rPr>
                <w:rFonts w:asciiTheme="minorHAnsi" w:hAnsiTheme="minorHAnsi"/>
                <w:u w:val="single"/>
              </w:rPr>
              <w:t>inantes y registro de transfere</w:t>
            </w:r>
            <w:r w:rsidRPr="0000574A">
              <w:rPr>
                <w:rFonts w:asciiTheme="minorHAnsi" w:hAnsiTheme="minorHAnsi"/>
                <w:u w:val="single"/>
              </w:rPr>
              <w:t>n</w:t>
            </w:r>
            <w:r>
              <w:rPr>
                <w:rFonts w:asciiTheme="minorHAnsi" w:hAnsiTheme="minorHAnsi"/>
                <w:u w:val="single"/>
              </w:rPr>
              <w:t>c</w:t>
            </w:r>
            <w:r w:rsidRPr="0000574A">
              <w:rPr>
                <w:rFonts w:asciiTheme="minorHAnsi" w:hAnsiTheme="minorHAnsi"/>
                <w:u w:val="single"/>
              </w:rPr>
              <w:t>ias”</w:t>
            </w:r>
            <w:r>
              <w:rPr>
                <w:rFonts w:asciiTheme="minorHAnsi" w:hAnsiTheme="minorHAnsi"/>
                <w:u w:val="single"/>
              </w:rPr>
              <w:t>.</w:t>
            </w:r>
            <w:r w:rsidRPr="0000574A">
              <w:rPr>
                <w:rFonts w:asciiTheme="minorHAnsi" w:hAnsiTheme="minorHAnsi"/>
              </w:rPr>
              <w:t xml:space="preserve"> El Ministerio de Economía y el de Medio Ambiente norman las hojas de seguridad para 562 sustancias.</w:t>
            </w:r>
          </w:p>
          <w:p w:rsidR="00B54810" w:rsidRPr="0000574A" w:rsidRDefault="00B54810" w:rsidP="0094590E">
            <w:pPr>
              <w:pStyle w:val="ListParagraph"/>
              <w:numPr>
                <w:ilvl w:val="0"/>
                <w:numId w:val="18"/>
              </w:numPr>
              <w:spacing w:after="0" w:line="240" w:lineRule="auto"/>
              <w:ind w:left="368" w:right="33"/>
              <w:cnfStyle w:val="000000100000" w:firstRow="0" w:lastRow="0" w:firstColumn="0" w:lastColumn="0" w:oddVBand="0" w:evenVBand="0" w:oddHBand="1" w:evenHBand="0" w:firstRowFirstColumn="0" w:firstRowLastColumn="0" w:lastRowFirstColumn="0" w:lastRowLastColumn="0"/>
              <w:rPr>
                <w:rFonts w:asciiTheme="minorHAnsi" w:hAnsiTheme="minorHAnsi"/>
                <w:u w:val="single"/>
              </w:rPr>
            </w:pPr>
            <w:r w:rsidRPr="0000574A">
              <w:rPr>
                <w:rFonts w:asciiTheme="minorHAnsi" w:hAnsiTheme="minorHAnsi"/>
                <w:u w:val="single"/>
              </w:rPr>
              <w:t>Revisión de “Ley de control de Sustancias Tóxicas y Nocivas”.</w:t>
            </w:r>
            <w:r w:rsidRPr="0000574A">
              <w:rPr>
                <w:rFonts w:asciiTheme="minorHAnsi" w:hAnsiTheme="minorHAnsi"/>
              </w:rPr>
              <w:t xml:space="preserve"> Se recomienda el etiquetado y hojas de seguridad para cerca de 350 sustancias.</w:t>
            </w:r>
          </w:p>
          <w:p w:rsidR="00B54810" w:rsidRPr="0000574A" w:rsidRDefault="00B54810" w:rsidP="0094590E">
            <w:pPr>
              <w:pStyle w:val="ListParagraph"/>
              <w:numPr>
                <w:ilvl w:val="0"/>
                <w:numId w:val="18"/>
              </w:numPr>
              <w:spacing w:after="0" w:line="240" w:lineRule="auto"/>
              <w:ind w:left="368" w:right="33"/>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rPr>
              <w:t>Las leyes aplican sólo a algunas sustancias químicas a diferencia del GHS que abarca la totalidad de ellas.</w:t>
            </w:r>
          </w:p>
          <w:p w:rsidR="00B54810" w:rsidRPr="0000574A" w:rsidRDefault="00B54810" w:rsidP="0094590E">
            <w:pPr>
              <w:pStyle w:val="ListParagraph"/>
              <w:numPr>
                <w:ilvl w:val="0"/>
                <w:numId w:val="18"/>
              </w:numPr>
              <w:spacing w:after="0" w:line="240" w:lineRule="auto"/>
              <w:ind w:left="368" w:right="33"/>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rPr>
              <w:t>Edición de Manual de clasificación y Guía Técnica sobre GHS</w:t>
            </w:r>
            <w:r>
              <w:rPr>
                <w:rFonts w:asciiTheme="minorHAnsi" w:hAnsiTheme="minorHAnsi"/>
              </w:rPr>
              <w:t>.</w:t>
            </w:r>
          </w:p>
          <w:p w:rsidR="00B54810" w:rsidRPr="0000574A" w:rsidRDefault="00B54810" w:rsidP="0094590E">
            <w:pPr>
              <w:pStyle w:val="ListParagraph"/>
              <w:numPr>
                <w:ilvl w:val="0"/>
                <w:numId w:val="18"/>
              </w:numPr>
              <w:spacing w:after="0" w:line="240" w:lineRule="auto"/>
              <w:ind w:left="368" w:right="33"/>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rPr>
              <w:t>Desarrollo de herramienta online para la clasificación de las mezclas en japonés.</w:t>
            </w:r>
          </w:p>
          <w:p w:rsidR="00B54810" w:rsidRPr="0000574A" w:rsidRDefault="00B54810" w:rsidP="00606EAC">
            <w:pPr>
              <w:spacing w:after="0" w:line="240" w:lineRule="auto"/>
              <w:ind w:right="33"/>
              <w:cnfStyle w:val="000000100000" w:firstRow="0" w:lastRow="0" w:firstColumn="0" w:lastColumn="0" w:oddVBand="0" w:evenVBand="0" w:oddHBand="1" w:evenHBand="0" w:firstRowFirstColumn="0" w:firstRowLastColumn="0" w:lastRowFirstColumn="0" w:lastRowLastColumn="0"/>
              <w:rPr>
                <w:rFonts w:asciiTheme="minorHAnsi" w:hAnsiTheme="minorHAnsi"/>
              </w:rPr>
            </w:pPr>
          </w:p>
          <w:p w:rsidR="00B54810" w:rsidRPr="0000574A" w:rsidRDefault="00B54810" w:rsidP="00606EAC">
            <w:pPr>
              <w:spacing w:after="0" w:line="240" w:lineRule="auto"/>
              <w:ind w:right="33"/>
              <w:cnfStyle w:val="000000100000" w:firstRow="0" w:lastRow="0" w:firstColumn="0" w:lastColumn="0" w:oddVBand="0" w:evenVBand="0" w:oddHBand="1" w:evenHBand="0" w:firstRowFirstColumn="0" w:firstRowLastColumn="0" w:lastRowFirstColumn="0" w:lastRowLastColumn="0"/>
              <w:rPr>
                <w:rFonts w:asciiTheme="minorHAnsi" w:hAnsiTheme="minorHAnsi"/>
                <w:b/>
              </w:rPr>
            </w:pPr>
            <w:r w:rsidRPr="0000574A">
              <w:rPr>
                <w:rFonts w:asciiTheme="minorHAnsi" w:hAnsiTheme="minorHAnsi"/>
                <w:b/>
              </w:rPr>
              <w:t>No hay planes específicos para la implementación de GHS en los otros sectores.</w:t>
            </w:r>
          </w:p>
        </w:tc>
      </w:tr>
      <w:tr w:rsidR="00B54810" w:rsidRPr="0000574A" w:rsidTr="00AB22A8">
        <w:tc>
          <w:tcPr>
            <w:cnfStyle w:val="001000000000" w:firstRow="0" w:lastRow="0" w:firstColumn="1" w:lastColumn="0" w:oddVBand="0" w:evenVBand="0" w:oddHBand="0" w:evenHBand="0" w:firstRowFirstColumn="0" w:firstRowLastColumn="0" w:lastRowFirstColumn="0" w:lastRowLastColumn="0"/>
            <w:tcW w:w="1077" w:type="pct"/>
          </w:tcPr>
          <w:p w:rsidR="00B54810" w:rsidRPr="0000574A" w:rsidRDefault="00B54810" w:rsidP="00606EAC">
            <w:pPr>
              <w:spacing w:after="0" w:line="240" w:lineRule="auto"/>
              <w:ind w:right="368"/>
              <w:rPr>
                <w:rFonts w:asciiTheme="minorHAnsi" w:hAnsiTheme="minorHAnsi"/>
              </w:rPr>
            </w:pPr>
            <w:r w:rsidRPr="0000574A">
              <w:rPr>
                <w:rFonts w:asciiTheme="minorHAnsi" w:hAnsiTheme="minorHAnsi"/>
              </w:rPr>
              <w:t>Resultados</w:t>
            </w:r>
          </w:p>
        </w:tc>
        <w:tc>
          <w:tcPr>
            <w:tcW w:w="3923" w:type="pct"/>
          </w:tcPr>
          <w:p w:rsidR="00B54810" w:rsidRPr="0000574A" w:rsidRDefault="00B54810" w:rsidP="001D7C47">
            <w:pPr>
              <w:pStyle w:val="ListParagraph"/>
              <w:numPr>
                <w:ilvl w:val="0"/>
                <w:numId w:val="17"/>
              </w:numPr>
              <w:spacing w:after="0" w:line="240" w:lineRule="auto"/>
              <w:ind w:left="368" w:right="33"/>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0574A">
              <w:rPr>
                <w:rFonts w:asciiTheme="minorHAnsi" w:hAnsiTheme="minorHAnsi"/>
              </w:rPr>
              <w:t>Se sugiere que se amplíe la cantidad de sustancias reguladas bajo el sistema GHS para evitar confusiones y el peligro que significa que información importante quede excluida.</w:t>
            </w:r>
          </w:p>
          <w:p w:rsidR="00B54810" w:rsidRPr="0000574A" w:rsidRDefault="00B54810" w:rsidP="00606EAC">
            <w:pPr>
              <w:pStyle w:val="ListParagraph"/>
              <w:spacing w:after="0" w:line="240" w:lineRule="auto"/>
              <w:ind w:left="0" w:right="33"/>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r>
    </w:tbl>
    <w:p w:rsidR="006D0FB7" w:rsidRDefault="00677A8A" w:rsidP="006D0FB7">
      <w:pPr>
        <w:pStyle w:val="Heading4"/>
        <w:numPr>
          <w:ilvl w:val="0"/>
          <w:numId w:val="0"/>
        </w:numPr>
        <w:spacing w:before="180" w:after="180"/>
        <w:ind w:left="851"/>
        <w:jc w:val="both"/>
        <w:rPr>
          <w:b/>
          <w:i/>
        </w:rPr>
      </w:pPr>
      <w:bookmarkStart w:id="77" w:name="_Toc388552091"/>
      <w:r w:rsidRPr="002D4486">
        <w:rPr>
          <w:b/>
          <w:i/>
        </w:rPr>
        <w:t xml:space="preserve"> </w:t>
      </w:r>
      <w:bookmarkStart w:id="78" w:name="_Toc418168881"/>
    </w:p>
    <w:p w:rsidR="00B54810" w:rsidRPr="002D4486" w:rsidRDefault="00B54810" w:rsidP="00D03658">
      <w:pPr>
        <w:pStyle w:val="Heading4"/>
        <w:spacing w:before="180" w:after="180"/>
        <w:ind w:left="851" w:hanging="862"/>
        <w:jc w:val="both"/>
        <w:rPr>
          <w:b/>
          <w:i/>
        </w:rPr>
      </w:pPr>
      <w:r w:rsidRPr="002D4486">
        <w:rPr>
          <w:b/>
          <w:i/>
          <w:caps w:val="0"/>
        </w:rPr>
        <w:t>Corea</w:t>
      </w:r>
      <w:bookmarkEnd w:id="77"/>
      <w:bookmarkEnd w:id="78"/>
    </w:p>
    <w:tbl>
      <w:tblPr>
        <w:tblStyle w:val="Listaclara-nfasis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773"/>
      </w:tblGrid>
      <w:tr w:rsidR="00B54810" w:rsidRPr="0000574A" w:rsidTr="00AB22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pct"/>
          </w:tcPr>
          <w:p w:rsidR="00B54810" w:rsidRPr="0000574A" w:rsidRDefault="00B54810" w:rsidP="00606EAC">
            <w:pPr>
              <w:spacing w:after="0" w:line="240" w:lineRule="auto"/>
              <w:ind w:right="368"/>
              <w:rPr>
                <w:rFonts w:asciiTheme="minorHAnsi" w:hAnsiTheme="minorHAnsi"/>
              </w:rPr>
            </w:pPr>
            <w:r w:rsidRPr="0000574A">
              <w:rPr>
                <w:rFonts w:asciiTheme="minorHAnsi" w:hAnsiTheme="minorHAnsi"/>
              </w:rPr>
              <w:t>Encargado</w:t>
            </w:r>
          </w:p>
        </w:tc>
        <w:tc>
          <w:tcPr>
            <w:tcW w:w="3923" w:type="pct"/>
          </w:tcPr>
          <w:p w:rsidR="00B54810" w:rsidRPr="0000574A" w:rsidRDefault="00B54810" w:rsidP="00606EAC">
            <w:pPr>
              <w:spacing w:after="0" w:line="240" w:lineRule="auto"/>
              <w:ind w:right="368"/>
              <w:cnfStyle w:val="100000000000" w:firstRow="1" w:lastRow="0" w:firstColumn="0" w:lastColumn="0" w:oddVBand="0" w:evenVBand="0" w:oddHBand="0" w:evenHBand="0" w:firstRowFirstColumn="0" w:firstRowLastColumn="0" w:lastRowFirstColumn="0" w:lastRowLastColumn="0"/>
              <w:rPr>
                <w:rFonts w:asciiTheme="minorHAnsi" w:hAnsiTheme="minorHAnsi"/>
              </w:rPr>
            </w:pPr>
            <w:r w:rsidRPr="0000574A">
              <w:rPr>
                <w:rFonts w:asciiTheme="minorHAnsi" w:hAnsiTheme="minorHAnsi"/>
              </w:rPr>
              <w:t>Ministerio del Trabajo y Ministerio de Medio Ambiente</w:t>
            </w:r>
          </w:p>
        </w:tc>
      </w:tr>
      <w:tr w:rsidR="00B54810" w:rsidRPr="0000574A" w:rsidTr="00AB22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pct"/>
            <w:tcBorders>
              <w:top w:val="none" w:sz="0" w:space="0" w:color="auto"/>
              <w:left w:val="none" w:sz="0" w:space="0" w:color="auto"/>
              <w:bottom w:val="none" w:sz="0" w:space="0" w:color="auto"/>
            </w:tcBorders>
          </w:tcPr>
          <w:p w:rsidR="00B54810" w:rsidRPr="0000574A" w:rsidRDefault="00B54810" w:rsidP="00606EAC">
            <w:pPr>
              <w:spacing w:after="0" w:line="240" w:lineRule="auto"/>
              <w:ind w:right="368"/>
              <w:rPr>
                <w:rFonts w:asciiTheme="minorHAnsi" w:hAnsiTheme="minorHAnsi"/>
              </w:rPr>
            </w:pPr>
            <w:r w:rsidRPr="0000574A">
              <w:rPr>
                <w:rFonts w:asciiTheme="minorHAnsi" w:hAnsiTheme="minorHAnsi"/>
              </w:rPr>
              <w:t xml:space="preserve">Principales participantes </w:t>
            </w:r>
          </w:p>
        </w:tc>
        <w:tc>
          <w:tcPr>
            <w:tcW w:w="3923" w:type="pct"/>
            <w:tcBorders>
              <w:top w:val="none" w:sz="0" w:space="0" w:color="auto"/>
              <w:bottom w:val="none" w:sz="0" w:space="0" w:color="auto"/>
              <w:right w:val="none" w:sz="0" w:space="0" w:color="auto"/>
            </w:tcBorders>
          </w:tcPr>
          <w:p w:rsidR="00B54810" w:rsidRPr="0000574A" w:rsidRDefault="00B54810" w:rsidP="00606EAC">
            <w:pPr>
              <w:spacing w:after="0" w:line="240" w:lineRule="auto"/>
              <w:ind w:right="-50"/>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rPr>
              <w:t>Agencia de Salud y Seguridad Ocupacional (KOSHA), Agencia Coreana para Normas y Tecnología (KATS), Agencia Nacional de Manejo de Emergencia (NEMA), Instituto Nacional de Investigación Medio Ambiental (NIER)</w:t>
            </w:r>
            <w:r>
              <w:rPr>
                <w:rFonts w:asciiTheme="minorHAnsi" w:hAnsiTheme="minorHAnsi"/>
              </w:rPr>
              <w:t>.</w:t>
            </w:r>
          </w:p>
        </w:tc>
      </w:tr>
      <w:tr w:rsidR="00B54810" w:rsidRPr="0000574A" w:rsidTr="00AB22A8">
        <w:tc>
          <w:tcPr>
            <w:cnfStyle w:val="001000000000" w:firstRow="0" w:lastRow="0" w:firstColumn="1" w:lastColumn="0" w:oddVBand="0" w:evenVBand="0" w:oddHBand="0" w:evenHBand="0" w:firstRowFirstColumn="0" w:firstRowLastColumn="0" w:lastRowFirstColumn="0" w:lastRowLastColumn="0"/>
            <w:tcW w:w="1077" w:type="pct"/>
          </w:tcPr>
          <w:p w:rsidR="00B54810" w:rsidRPr="0000574A" w:rsidRDefault="00B54810" w:rsidP="00606EAC">
            <w:pPr>
              <w:spacing w:after="0" w:line="240" w:lineRule="auto"/>
              <w:ind w:right="368"/>
              <w:rPr>
                <w:rFonts w:asciiTheme="minorHAnsi" w:hAnsiTheme="minorHAnsi"/>
              </w:rPr>
            </w:pPr>
            <w:r w:rsidRPr="0000574A">
              <w:rPr>
                <w:rFonts w:asciiTheme="minorHAnsi" w:hAnsiTheme="minorHAnsi"/>
              </w:rPr>
              <w:t>Antecedentes</w:t>
            </w:r>
          </w:p>
        </w:tc>
        <w:tc>
          <w:tcPr>
            <w:tcW w:w="3923" w:type="pct"/>
          </w:tcPr>
          <w:p w:rsidR="00B54810" w:rsidRDefault="00B54810" w:rsidP="00606EAC">
            <w:pPr>
              <w:spacing w:after="0" w:line="240" w:lineRule="auto"/>
              <w:ind w:right="-50"/>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0574A">
              <w:rPr>
                <w:rFonts w:asciiTheme="minorHAnsi" w:hAnsiTheme="minorHAnsi"/>
                <w:u w:val="single"/>
              </w:rPr>
              <w:t>2003-2004:</w:t>
            </w:r>
            <w:r w:rsidRPr="0000574A">
              <w:rPr>
                <w:rFonts w:asciiTheme="minorHAnsi" w:hAnsiTheme="minorHAnsi"/>
              </w:rPr>
              <w:t xml:space="preserve"> Creación del Comité interministerial para coordinar armonización de sistema existente con GHS</w:t>
            </w:r>
            <w:r>
              <w:rPr>
                <w:rFonts w:asciiTheme="minorHAnsi" w:hAnsiTheme="minorHAnsi"/>
              </w:rPr>
              <w:t>.</w:t>
            </w:r>
          </w:p>
          <w:p w:rsidR="00B54810" w:rsidRPr="0000574A" w:rsidRDefault="00B54810" w:rsidP="00606EAC">
            <w:pPr>
              <w:spacing w:after="0" w:line="240" w:lineRule="auto"/>
              <w:ind w:right="-50"/>
              <w:cnfStyle w:val="000000000000" w:firstRow="0" w:lastRow="0" w:firstColumn="0" w:lastColumn="0" w:oddVBand="0" w:evenVBand="0" w:oddHBand="0" w:evenHBand="0" w:firstRowFirstColumn="0" w:firstRowLastColumn="0" w:lastRowFirstColumn="0" w:lastRowLastColumn="0"/>
              <w:rPr>
                <w:rFonts w:asciiTheme="minorHAnsi" w:hAnsiTheme="minorHAnsi"/>
                <w:u w:val="single"/>
              </w:rPr>
            </w:pPr>
          </w:p>
          <w:p w:rsidR="00B54810" w:rsidRPr="0000574A" w:rsidRDefault="00B54810" w:rsidP="00294FB1">
            <w:pPr>
              <w:spacing w:after="0" w:line="240" w:lineRule="auto"/>
              <w:ind w:right="-50"/>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0574A">
              <w:rPr>
                <w:rFonts w:asciiTheme="minorHAnsi" w:hAnsiTheme="minorHAnsi"/>
                <w:u w:val="single"/>
              </w:rPr>
              <w:t>2005-2007:</w:t>
            </w:r>
            <w:r w:rsidRPr="0000574A">
              <w:rPr>
                <w:rFonts w:asciiTheme="minorHAnsi" w:hAnsiTheme="minorHAnsi"/>
              </w:rPr>
              <w:t xml:space="preserve"> Publicación del GHS en coreano, Acuerdo de cooperación para implementación de GHS con Japón y China (TEEM), Seminarios de capaci</w:t>
            </w:r>
            <w:r>
              <w:rPr>
                <w:rFonts w:asciiTheme="minorHAnsi" w:hAnsiTheme="minorHAnsi"/>
              </w:rPr>
              <w:t xml:space="preserve">tación sobre GHS y Análisis de </w:t>
            </w:r>
            <w:r w:rsidR="00F13083">
              <w:rPr>
                <w:rFonts w:asciiTheme="minorHAnsi" w:hAnsiTheme="minorHAnsi"/>
              </w:rPr>
              <w:t xml:space="preserve">la </w:t>
            </w:r>
            <w:r>
              <w:rPr>
                <w:rFonts w:asciiTheme="minorHAnsi" w:hAnsiTheme="minorHAnsi"/>
              </w:rPr>
              <w:t>s</w:t>
            </w:r>
            <w:r w:rsidRPr="0000574A">
              <w:rPr>
                <w:rFonts w:asciiTheme="minorHAnsi" w:hAnsiTheme="minorHAnsi"/>
              </w:rPr>
              <w:t>ituación</w:t>
            </w:r>
            <w:r w:rsidR="00294FB1">
              <w:rPr>
                <w:rFonts w:asciiTheme="minorHAnsi" w:hAnsiTheme="minorHAnsi"/>
              </w:rPr>
              <w:t xml:space="preserve"> </w:t>
            </w:r>
            <w:r>
              <w:rPr>
                <w:rFonts w:asciiTheme="minorHAnsi" w:hAnsiTheme="minorHAnsi"/>
              </w:rPr>
              <w:t>a</w:t>
            </w:r>
            <w:r w:rsidRPr="0000574A">
              <w:rPr>
                <w:rFonts w:asciiTheme="minorHAnsi" w:hAnsiTheme="minorHAnsi"/>
              </w:rPr>
              <w:t xml:space="preserve">ctual y </w:t>
            </w:r>
            <w:r>
              <w:rPr>
                <w:rFonts w:asciiTheme="minorHAnsi" w:hAnsiTheme="minorHAnsi"/>
              </w:rPr>
              <w:t>v</w:t>
            </w:r>
            <w:r w:rsidRPr="0000574A">
              <w:rPr>
                <w:rFonts w:asciiTheme="minorHAnsi" w:hAnsiTheme="minorHAnsi"/>
              </w:rPr>
              <w:t>acíos.</w:t>
            </w:r>
          </w:p>
        </w:tc>
      </w:tr>
      <w:tr w:rsidR="00B54810" w:rsidRPr="0000574A" w:rsidTr="00AB22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pct"/>
            <w:tcBorders>
              <w:top w:val="none" w:sz="0" w:space="0" w:color="auto"/>
              <w:left w:val="none" w:sz="0" w:space="0" w:color="auto"/>
              <w:bottom w:val="none" w:sz="0" w:space="0" w:color="auto"/>
            </w:tcBorders>
          </w:tcPr>
          <w:p w:rsidR="00B54810" w:rsidRPr="0000574A" w:rsidRDefault="00B54810" w:rsidP="00606EAC">
            <w:pPr>
              <w:spacing w:after="0" w:line="240" w:lineRule="auto"/>
              <w:ind w:right="368"/>
              <w:jc w:val="left"/>
              <w:rPr>
                <w:rFonts w:asciiTheme="minorHAnsi" w:hAnsiTheme="minorHAnsi"/>
              </w:rPr>
            </w:pPr>
            <w:r w:rsidRPr="0000574A">
              <w:rPr>
                <w:rFonts w:asciiTheme="minorHAnsi" w:hAnsiTheme="minorHAnsi"/>
              </w:rPr>
              <w:t>Estrategia de implementación</w:t>
            </w:r>
          </w:p>
        </w:tc>
        <w:tc>
          <w:tcPr>
            <w:tcW w:w="3923" w:type="pct"/>
            <w:tcBorders>
              <w:top w:val="none" w:sz="0" w:space="0" w:color="auto"/>
              <w:bottom w:val="none" w:sz="0" w:space="0" w:color="auto"/>
              <w:right w:val="none" w:sz="0" w:space="0" w:color="auto"/>
            </w:tcBorders>
          </w:tcPr>
          <w:p w:rsidR="00B54810" w:rsidRDefault="00B54810" w:rsidP="00606EAC">
            <w:pPr>
              <w:spacing w:after="0" w:line="240" w:lineRule="auto"/>
              <w:ind w:right="-50"/>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u w:val="single"/>
              </w:rPr>
              <w:t>Sector Transporte</w:t>
            </w:r>
            <w:r w:rsidRPr="0000574A">
              <w:rPr>
                <w:rFonts w:asciiTheme="minorHAnsi" w:hAnsiTheme="minorHAnsi"/>
              </w:rPr>
              <w:t xml:space="preserve">: </w:t>
            </w:r>
          </w:p>
          <w:p w:rsidR="00B54810" w:rsidRDefault="00B54810" w:rsidP="00606EAC">
            <w:pPr>
              <w:spacing w:after="0" w:line="240" w:lineRule="auto"/>
              <w:ind w:right="-50"/>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rPr>
              <w:t>A nivel nacional e internacional, la normativa vigente se encuentra basada en el Reglamento Modelo de la</w:t>
            </w:r>
            <w:r>
              <w:rPr>
                <w:rFonts w:asciiTheme="minorHAnsi" w:hAnsiTheme="minorHAnsi"/>
              </w:rPr>
              <w:t xml:space="preserve"> ONU sobre t</w:t>
            </w:r>
            <w:r w:rsidRPr="0000574A">
              <w:rPr>
                <w:rFonts w:asciiTheme="minorHAnsi" w:hAnsiTheme="minorHAnsi"/>
              </w:rPr>
              <w:t xml:space="preserve">ransporte de </w:t>
            </w:r>
            <w:r>
              <w:rPr>
                <w:rFonts w:asciiTheme="minorHAnsi" w:hAnsiTheme="minorHAnsi"/>
              </w:rPr>
              <w:t>p</w:t>
            </w:r>
            <w:r w:rsidRPr="0000574A">
              <w:rPr>
                <w:rFonts w:asciiTheme="minorHAnsi" w:hAnsiTheme="minorHAnsi"/>
              </w:rPr>
              <w:t>roductos peligrosos que se encuentra alineada con GHS</w:t>
            </w:r>
            <w:r>
              <w:rPr>
                <w:rFonts w:asciiTheme="minorHAnsi" w:hAnsiTheme="minorHAnsi"/>
              </w:rPr>
              <w:t>.</w:t>
            </w:r>
          </w:p>
          <w:p w:rsidR="00B54810" w:rsidRPr="0000574A" w:rsidRDefault="00B54810" w:rsidP="00606EAC">
            <w:pPr>
              <w:spacing w:after="0" w:line="240" w:lineRule="auto"/>
              <w:ind w:right="-50"/>
              <w:cnfStyle w:val="000000100000" w:firstRow="0" w:lastRow="0" w:firstColumn="0" w:lastColumn="0" w:oddVBand="0" w:evenVBand="0" w:oddHBand="1" w:evenHBand="0" w:firstRowFirstColumn="0" w:firstRowLastColumn="0" w:lastRowFirstColumn="0" w:lastRowLastColumn="0"/>
              <w:rPr>
                <w:rFonts w:asciiTheme="minorHAnsi" w:hAnsiTheme="minorHAnsi"/>
              </w:rPr>
            </w:pPr>
          </w:p>
          <w:p w:rsidR="00B54810" w:rsidRPr="0000574A" w:rsidRDefault="00B54810" w:rsidP="00606EAC">
            <w:pPr>
              <w:spacing w:after="0" w:line="240" w:lineRule="auto"/>
              <w:ind w:right="-50"/>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u w:val="single"/>
              </w:rPr>
              <w:t>Sector Industria:</w:t>
            </w:r>
            <w:r w:rsidRPr="0000574A">
              <w:rPr>
                <w:rFonts w:asciiTheme="minorHAnsi" w:hAnsiTheme="minorHAnsi"/>
              </w:rPr>
              <w:t xml:space="preserve"> </w:t>
            </w:r>
          </w:p>
          <w:p w:rsidR="00B54810" w:rsidRPr="0000574A" w:rsidRDefault="00B54810" w:rsidP="001D7C47">
            <w:pPr>
              <w:pStyle w:val="ListParagraph"/>
              <w:numPr>
                <w:ilvl w:val="0"/>
                <w:numId w:val="11"/>
              </w:numPr>
              <w:spacing w:after="0" w:line="240" w:lineRule="auto"/>
              <w:ind w:left="368" w:right="-50"/>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u w:val="single"/>
              </w:rPr>
              <w:t>Revisión de “Acta de Seguridad y Salud Industrial” (ISHA) de acuerdo al GHS</w:t>
            </w:r>
            <w:r w:rsidRPr="0000574A">
              <w:rPr>
                <w:rFonts w:asciiTheme="minorHAnsi" w:hAnsiTheme="minorHAnsi"/>
              </w:rPr>
              <w:t>. Ministerio de Trabajo publicó “Normas para clasificación y etiquetado de sustancias químicas y Hojas de Seguridad” (2009) para implementar GHS. Se detalla definición y criterios de clasificación, elementos de etiquetado, requisitos de hojas de seguridad, en 27 clases de peligros</w:t>
            </w:r>
            <w:r>
              <w:rPr>
                <w:rFonts w:asciiTheme="minorHAnsi" w:hAnsiTheme="minorHAnsi"/>
              </w:rPr>
              <w:t>.</w:t>
            </w:r>
          </w:p>
          <w:p w:rsidR="00B54810" w:rsidRPr="0000574A" w:rsidRDefault="00B54810" w:rsidP="001D7C47">
            <w:pPr>
              <w:pStyle w:val="ListParagraph"/>
              <w:numPr>
                <w:ilvl w:val="0"/>
                <w:numId w:val="11"/>
              </w:numPr>
              <w:spacing w:after="0" w:line="240" w:lineRule="auto"/>
              <w:ind w:left="368" w:right="-50"/>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rPr>
              <w:t>Período de transición: 30 junio 2010 para sustancias, 30 junio 2013 para mezclas</w:t>
            </w:r>
            <w:r>
              <w:rPr>
                <w:rFonts w:asciiTheme="minorHAnsi" w:hAnsiTheme="minorHAnsi"/>
              </w:rPr>
              <w:t>.</w:t>
            </w:r>
          </w:p>
          <w:p w:rsidR="00B54810" w:rsidRPr="0000574A" w:rsidRDefault="00B54810" w:rsidP="001D7C47">
            <w:pPr>
              <w:pStyle w:val="ListParagraph"/>
              <w:numPr>
                <w:ilvl w:val="0"/>
                <w:numId w:val="11"/>
              </w:numPr>
              <w:spacing w:after="0" w:line="240" w:lineRule="auto"/>
              <w:ind w:left="368" w:right="-50"/>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rPr>
              <w:t>Obligatorio para clasificación de sustancias nuevas desde Julio 2008.</w:t>
            </w:r>
          </w:p>
          <w:p w:rsidR="00B54810" w:rsidRPr="0000574A" w:rsidRDefault="00B54810" w:rsidP="001D7C47">
            <w:pPr>
              <w:pStyle w:val="ListParagraph"/>
              <w:numPr>
                <w:ilvl w:val="0"/>
                <w:numId w:val="11"/>
              </w:numPr>
              <w:spacing w:after="0" w:line="240" w:lineRule="auto"/>
              <w:ind w:left="368" w:right="-50"/>
              <w:cnfStyle w:val="000000100000" w:firstRow="0" w:lastRow="0" w:firstColumn="0" w:lastColumn="0" w:oddVBand="0" w:evenVBand="0" w:oddHBand="1" w:evenHBand="0" w:firstRowFirstColumn="0" w:firstRowLastColumn="0" w:lastRowFirstColumn="0" w:lastRowLastColumn="0"/>
              <w:rPr>
                <w:rFonts w:asciiTheme="minorHAnsi" w:hAnsiTheme="minorHAnsi"/>
                <w:u w:val="single"/>
              </w:rPr>
            </w:pPr>
            <w:r w:rsidRPr="0000574A">
              <w:rPr>
                <w:rFonts w:asciiTheme="minorHAnsi" w:hAnsiTheme="minorHAnsi"/>
                <w:u w:val="single"/>
              </w:rPr>
              <w:t>Revisión de “Ley de manejo seguro de sustancias peligrosas” de acuerdo al GHS por parte de NEMA.</w:t>
            </w:r>
            <w:r w:rsidRPr="0000574A">
              <w:rPr>
                <w:rFonts w:asciiTheme="minorHAnsi" w:hAnsiTheme="minorHAnsi"/>
              </w:rPr>
              <w:t xml:space="preserve"> Se adoptan 16 categorías de peligro físico para la clasificación y etiquetado de las sustancias peligrosas.</w:t>
            </w:r>
          </w:p>
          <w:p w:rsidR="00B54810" w:rsidRPr="0000574A" w:rsidRDefault="00B54810" w:rsidP="001D7C47">
            <w:pPr>
              <w:pStyle w:val="ListParagraph"/>
              <w:numPr>
                <w:ilvl w:val="0"/>
                <w:numId w:val="16"/>
              </w:numPr>
              <w:spacing w:after="0" w:line="240" w:lineRule="auto"/>
              <w:ind w:left="368" w:right="-50"/>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u w:val="single"/>
              </w:rPr>
              <w:t>Revisión de “Ley de Control de Sustancias Tóxicas” (TCCA) de acuerdo al GHS por parte del Ministerio de Medio Ambiente</w:t>
            </w:r>
            <w:r w:rsidRPr="0000574A">
              <w:rPr>
                <w:rFonts w:asciiTheme="minorHAnsi" w:hAnsiTheme="minorHAnsi"/>
              </w:rPr>
              <w:t xml:space="preserve">. Se adoptaron 27 categorías de peligro (16 físicas, 10 salud y 1 medioambiente). </w:t>
            </w:r>
          </w:p>
          <w:p w:rsidR="00B54810" w:rsidRPr="0000574A" w:rsidRDefault="00B54810" w:rsidP="001D7C47">
            <w:pPr>
              <w:pStyle w:val="ListParagraph"/>
              <w:numPr>
                <w:ilvl w:val="0"/>
                <w:numId w:val="11"/>
              </w:numPr>
              <w:spacing w:after="0" w:line="240" w:lineRule="auto"/>
              <w:ind w:left="368" w:right="-50"/>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rPr>
              <w:t>Período de transición: 30 junio 2011 para sustancias, 30 junio 2013 para mezclas</w:t>
            </w:r>
            <w:r>
              <w:rPr>
                <w:rFonts w:asciiTheme="minorHAnsi" w:hAnsiTheme="minorHAnsi"/>
              </w:rPr>
              <w:t>.</w:t>
            </w:r>
          </w:p>
          <w:p w:rsidR="00B54810" w:rsidRPr="0000574A" w:rsidRDefault="00B54810" w:rsidP="001D7C47">
            <w:pPr>
              <w:pStyle w:val="ListParagraph"/>
              <w:numPr>
                <w:ilvl w:val="0"/>
                <w:numId w:val="11"/>
              </w:numPr>
              <w:spacing w:after="0" w:line="240" w:lineRule="auto"/>
              <w:ind w:left="368" w:right="-50"/>
              <w:cnfStyle w:val="000000100000" w:firstRow="0" w:lastRow="0" w:firstColumn="0" w:lastColumn="0" w:oddVBand="0" w:evenVBand="0" w:oddHBand="1" w:evenHBand="0" w:firstRowFirstColumn="0" w:firstRowLastColumn="0" w:lastRowFirstColumn="0" w:lastRowLastColumn="0"/>
              <w:rPr>
                <w:rFonts w:asciiTheme="minorHAnsi" w:hAnsiTheme="minorHAnsi"/>
                <w:u w:val="single"/>
              </w:rPr>
            </w:pPr>
            <w:r w:rsidRPr="0000574A">
              <w:rPr>
                <w:rFonts w:asciiTheme="minorHAnsi" w:hAnsiTheme="minorHAnsi"/>
              </w:rPr>
              <w:t>La cantidad de sustancias químicas clasificadas bajo nuevo sistema fue incrementada por etapas.</w:t>
            </w:r>
          </w:p>
          <w:p w:rsidR="00B54810" w:rsidRPr="0000574A" w:rsidRDefault="00B54810" w:rsidP="001D7C47">
            <w:pPr>
              <w:pStyle w:val="ListParagraph"/>
              <w:numPr>
                <w:ilvl w:val="0"/>
                <w:numId w:val="11"/>
              </w:numPr>
              <w:spacing w:after="0" w:line="240" w:lineRule="auto"/>
              <w:ind w:left="368" w:right="-50"/>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rPr>
              <w:t>Durante transición se puede usar la versión revisada del ISHA o la original.</w:t>
            </w:r>
          </w:p>
          <w:p w:rsidR="00B54810" w:rsidRPr="0000574A" w:rsidRDefault="00B54810" w:rsidP="001D7C47">
            <w:pPr>
              <w:pStyle w:val="ListParagraph"/>
              <w:numPr>
                <w:ilvl w:val="0"/>
                <w:numId w:val="11"/>
              </w:numPr>
              <w:spacing w:after="0" w:line="240" w:lineRule="auto"/>
              <w:ind w:left="368" w:right="-50"/>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rPr>
              <w:t>No todas las categorías de clasificación y peligro fueron incluidas</w:t>
            </w:r>
            <w:r>
              <w:rPr>
                <w:rFonts w:asciiTheme="minorHAnsi" w:hAnsiTheme="minorHAnsi"/>
              </w:rPr>
              <w:t>.</w:t>
            </w:r>
          </w:p>
          <w:p w:rsidR="00B54810" w:rsidRPr="0000574A" w:rsidRDefault="00B54810" w:rsidP="001D7C47">
            <w:pPr>
              <w:pStyle w:val="ListParagraph"/>
              <w:numPr>
                <w:ilvl w:val="0"/>
                <w:numId w:val="11"/>
              </w:numPr>
              <w:spacing w:after="0" w:line="240" w:lineRule="auto"/>
              <w:ind w:left="368" w:right="-50"/>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rPr>
              <w:t>No se incluyó el sector de Consumo</w:t>
            </w:r>
            <w:r>
              <w:rPr>
                <w:rFonts w:asciiTheme="minorHAnsi" w:hAnsiTheme="minorHAnsi"/>
              </w:rPr>
              <w:t>.</w:t>
            </w:r>
          </w:p>
          <w:p w:rsidR="00B54810" w:rsidRPr="0000574A" w:rsidRDefault="00B54810" w:rsidP="001D7C47">
            <w:pPr>
              <w:pStyle w:val="ListParagraph"/>
              <w:numPr>
                <w:ilvl w:val="0"/>
                <w:numId w:val="11"/>
              </w:numPr>
              <w:spacing w:after="0" w:line="240" w:lineRule="auto"/>
              <w:ind w:left="368" w:right="-50"/>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0574A">
              <w:rPr>
                <w:rFonts w:asciiTheme="minorHAnsi" w:hAnsiTheme="minorHAnsi"/>
              </w:rPr>
              <w:t>Creación de programa para la Clasificación y Etiquetado para sustancias y mezclas de acuerdo a GHS</w:t>
            </w:r>
            <w:r>
              <w:rPr>
                <w:rFonts w:asciiTheme="minorHAnsi" w:hAnsiTheme="minorHAnsi"/>
              </w:rPr>
              <w:t>.</w:t>
            </w:r>
          </w:p>
        </w:tc>
      </w:tr>
      <w:tr w:rsidR="00B54810" w:rsidRPr="0000574A" w:rsidTr="00AB22A8">
        <w:tc>
          <w:tcPr>
            <w:cnfStyle w:val="001000000000" w:firstRow="0" w:lastRow="0" w:firstColumn="1" w:lastColumn="0" w:oddVBand="0" w:evenVBand="0" w:oddHBand="0" w:evenHBand="0" w:firstRowFirstColumn="0" w:firstRowLastColumn="0" w:lastRowFirstColumn="0" w:lastRowLastColumn="0"/>
            <w:tcW w:w="1077" w:type="pct"/>
          </w:tcPr>
          <w:p w:rsidR="00B54810" w:rsidRPr="0000574A" w:rsidRDefault="00B54810" w:rsidP="00606EAC">
            <w:pPr>
              <w:spacing w:after="0" w:line="240" w:lineRule="auto"/>
              <w:ind w:right="368"/>
              <w:rPr>
                <w:rFonts w:asciiTheme="minorHAnsi" w:hAnsiTheme="minorHAnsi"/>
              </w:rPr>
            </w:pPr>
            <w:r w:rsidRPr="0000574A">
              <w:rPr>
                <w:rFonts w:asciiTheme="minorHAnsi" w:hAnsiTheme="minorHAnsi"/>
              </w:rPr>
              <w:t>Resultados</w:t>
            </w:r>
          </w:p>
        </w:tc>
        <w:tc>
          <w:tcPr>
            <w:tcW w:w="3923" w:type="pct"/>
          </w:tcPr>
          <w:p w:rsidR="00B54810" w:rsidRPr="0000574A" w:rsidRDefault="00B54810" w:rsidP="001D7C47">
            <w:pPr>
              <w:pStyle w:val="ListParagraph"/>
              <w:numPr>
                <w:ilvl w:val="0"/>
                <w:numId w:val="17"/>
              </w:numPr>
              <w:spacing w:after="0" w:line="240" w:lineRule="auto"/>
              <w:ind w:left="368" w:right="-50"/>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0574A">
              <w:rPr>
                <w:rFonts w:asciiTheme="minorHAnsi" w:hAnsiTheme="minorHAnsi"/>
              </w:rPr>
              <w:t>Confusión en normas de hojas de seguridad. Es necesario integrar las distintas normas  de aplicación del GHS para evitar confusión en los fabricantes, importadores y usuarios de sustancias peligrosas. Capacitación para estos grupos para utilizar sistema GHS.</w:t>
            </w:r>
          </w:p>
          <w:p w:rsidR="00B54810" w:rsidRPr="0000574A" w:rsidRDefault="00B54810" w:rsidP="001D7C47">
            <w:pPr>
              <w:pStyle w:val="ListParagraph"/>
              <w:numPr>
                <w:ilvl w:val="0"/>
                <w:numId w:val="17"/>
              </w:numPr>
              <w:spacing w:after="0" w:line="240" w:lineRule="auto"/>
              <w:ind w:left="368" w:right="-50"/>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0574A">
              <w:rPr>
                <w:rFonts w:asciiTheme="minorHAnsi" w:hAnsiTheme="minorHAnsi"/>
              </w:rPr>
              <w:t>Se debe reforzar las instrucciones para la correcta aplicación del GHS en el sector industrial.</w:t>
            </w:r>
          </w:p>
        </w:tc>
      </w:tr>
    </w:tbl>
    <w:p w:rsidR="00B54810" w:rsidRDefault="00B54810" w:rsidP="00D03658">
      <w:pPr>
        <w:pStyle w:val="Heading3"/>
        <w:spacing w:before="180" w:after="180" w:line="264" w:lineRule="auto"/>
        <w:ind w:left="709"/>
      </w:pPr>
      <w:bookmarkStart w:id="79" w:name="_Toc388552092"/>
      <w:bookmarkStart w:id="80" w:name="_Toc418168882"/>
      <w:r>
        <w:t>Oceanía</w:t>
      </w:r>
      <w:bookmarkEnd w:id="79"/>
      <w:bookmarkEnd w:id="80"/>
    </w:p>
    <w:p w:rsidR="00B54810" w:rsidRDefault="00B54810" w:rsidP="00872364">
      <w:pPr>
        <w:tabs>
          <w:tab w:val="left" w:pos="9923"/>
        </w:tabs>
        <w:spacing w:line="240" w:lineRule="auto"/>
        <w:jc w:val="both"/>
      </w:pPr>
      <w:r>
        <w:t>Los 2 países principales de esta zona, Nueva Zelandia y Australia, tienen implementado el GHS en su jurisdicción. En particular, Nueva Zelandia fue el primer país a nivel mundial en implementar el sistema, por lo que a la fecha ya cuenta con varios años de funcionamiento, proporcionando información tanto sobre la estrategia como de posibles inconvenientes durante la implementación.</w:t>
      </w:r>
    </w:p>
    <w:p w:rsidR="00B54810" w:rsidRPr="00677A8A" w:rsidRDefault="00677A8A" w:rsidP="00872364">
      <w:pPr>
        <w:pStyle w:val="Heading4"/>
        <w:spacing w:before="0" w:after="180"/>
        <w:ind w:left="851" w:hanging="862"/>
        <w:jc w:val="both"/>
        <w:rPr>
          <w:b/>
          <w:caps w:val="0"/>
        </w:rPr>
      </w:pPr>
      <w:bookmarkStart w:id="81" w:name="_Toc388552093"/>
      <w:r>
        <w:rPr>
          <w:b/>
          <w:caps w:val="0"/>
        </w:rPr>
        <w:t xml:space="preserve"> </w:t>
      </w:r>
      <w:bookmarkStart w:id="82" w:name="_Toc418168883"/>
      <w:r w:rsidR="00B54810" w:rsidRPr="002D4486">
        <w:rPr>
          <w:b/>
          <w:i/>
          <w:caps w:val="0"/>
        </w:rPr>
        <w:t>Nueva</w:t>
      </w:r>
      <w:r w:rsidR="00B54810" w:rsidRPr="00677A8A">
        <w:rPr>
          <w:b/>
          <w:caps w:val="0"/>
        </w:rPr>
        <w:t xml:space="preserve"> </w:t>
      </w:r>
      <w:r w:rsidR="00B54810" w:rsidRPr="002D4486">
        <w:rPr>
          <w:b/>
          <w:i/>
          <w:caps w:val="0"/>
        </w:rPr>
        <w:t>Zelandia</w:t>
      </w:r>
      <w:bookmarkEnd w:id="81"/>
      <w:bookmarkEnd w:id="82"/>
    </w:p>
    <w:tbl>
      <w:tblPr>
        <w:tblStyle w:val="Listaclara-nfasis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7746"/>
      </w:tblGrid>
      <w:tr w:rsidR="00B54810" w:rsidRPr="00377B49" w:rsidTr="00AB22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3" w:type="pct"/>
          </w:tcPr>
          <w:p w:rsidR="00B54810" w:rsidRPr="00377B49" w:rsidRDefault="00B54810" w:rsidP="00606EAC">
            <w:pPr>
              <w:spacing w:after="0" w:line="240" w:lineRule="auto"/>
              <w:ind w:right="368"/>
              <w:rPr>
                <w:rFonts w:asciiTheme="minorHAnsi" w:hAnsiTheme="minorHAnsi"/>
              </w:rPr>
            </w:pPr>
            <w:r w:rsidRPr="00377B49">
              <w:rPr>
                <w:rFonts w:asciiTheme="minorHAnsi" w:hAnsiTheme="minorHAnsi"/>
              </w:rPr>
              <w:t>Encargado</w:t>
            </w:r>
          </w:p>
        </w:tc>
        <w:tc>
          <w:tcPr>
            <w:tcW w:w="3907" w:type="pct"/>
          </w:tcPr>
          <w:p w:rsidR="00B54810" w:rsidRPr="00377B49" w:rsidRDefault="00B54810" w:rsidP="00606EAC">
            <w:pPr>
              <w:spacing w:after="0" w:line="240" w:lineRule="auto"/>
              <w:ind w:right="368"/>
              <w:cnfStyle w:val="100000000000" w:firstRow="1" w:lastRow="0" w:firstColumn="0" w:lastColumn="0" w:oddVBand="0" w:evenVBand="0" w:oddHBand="0" w:evenHBand="0" w:firstRowFirstColumn="0" w:firstRowLastColumn="0" w:lastRowFirstColumn="0" w:lastRowLastColumn="0"/>
              <w:rPr>
                <w:rFonts w:asciiTheme="minorHAnsi" w:hAnsiTheme="minorHAnsi"/>
              </w:rPr>
            </w:pPr>
            <w:r w:rsidRPr="00377B49">
              <w:rPr>
                <w:rFonts w:asciiTheme="minorHAnsi" w:hAnsiTheme="minorHAnsi"/>
              </w:rPr>
              <w:t>Autoridad de Gestión de Riesgo Ambiental (ERMA)</w:t>
            </w:r>
          </w:p>
        </w:tc>
      </w:tr>
      <w:tr w:rsidR="00B54810" w:rsidRPr="00377B49" w:rsidTr="00AB22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3" w:type="pct"/>
            <w:tcBorders>
              <w:top w:val="none" w:sz="0" w:space="0" w:color="auto"/>
              <w:left w:val="none" w:sz="0" w:space="0" w:color="auto"/>
              <w:bottom w:val="none" w:sz="0" w:space="0" w:color="auto"/>
            </w:tcBorders>
          </w:tcPr>
          <w:p w:rsidR="00B54810" w:rsidRPr="00377B49" w:rsidRDefault="00B54810" w:rsidP="00606EAC">
            <w:pPr>
              <w:spacing w:after="0" w:line="240" w:lineRule="auto"/>
              <w:ind w:right="368"/>
              <w:rPr>
                <w:rFonts w:asciiTheme="minorHAnsi" w:hAnsiTheme="minorHAnsi"/>
              </w:rPr>
            </w:pPr>
            <w:r w:rsidRPr="00377B49">
              <w:rPr>
                <w:rFonts w:asciiTheme="minorHAnsi" w:hAnsiTheme="minorHAnsi"/>
              </w:rPr>
              <w:t xml:space="preserve">Principales participantes </w:t>
            </w:r>
          </w:p>
        </w:tc>
        <w:tc>
          <w:tcPr>
            <w:tcW w:w="3907" w:type="pct"/>
            <w:tcBorders>
              <w:top w:val="none" w:sz="0" w:space="0" w:color="auto"/>
              <w:bottom w:val="none" w:sz="0" w:space="0" w:color="auto"/>
              <w:right w:val="none" w:sz="0" w:space="0" w:color="auto"/>
            </w:tcBorders>
          </w:tcPr>
          <w:p w:rsidR="00B54810" w:rsidRPr="00377B49" w:rsidRDefault="00B54810" w:rsidP="00606EAC">
            <w:pPr>
              <w:spacing w:line="240" w:lineRule="auto"/>
              <w:ind w:right="34"/>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377B49">
              <w:rPr>
                <w:rFonts w:asciiTheme="minorHAnsi" w:hAnsiTheme="minorHAnsi"/>
              </w:rPr>
              <w:t>Ministerio de Medio Ambiente, Departamento del Trabajo: Sección Salud y Seguridad</w:t>
            </w:r>
            <w:r>
              <w:rPr>
                <w:rFonts w:asciiTheme="minorHAnsi" w:hAnsiTheme="minorHAnsi"/>
              </w:rPr>
              <w:t>.</w:t>
            </w:r>
          </w:p>
        </w:tc>
      </w:tr>
      <w:tr w:rsidR="00B54810" w:rsidRPr="00377B49" w:rsidTr="00AB22A8">
        <w:tc>
          <w:tcPr>
            <w:cnfStyle w:val="001000000000" w:firstRow="0" w:lastRow="0" w:firstColumn="1" w:lastColumn="0" w:oddVBand="0" w:evenVBand="0" w:oddHBand="0" w:evenHBand="0" w:firstRowFirstColumn="0" w:firstRowLastColumn="0" w:lastRowFirstColumn="0" w:lastRowLastColumn="0"/>
            <w:tcW w:w="1093" w:type="pct"/>
          </w:tcPr>
          <w:p w:rsidR="00B54810" w:rsidRPr="00377B49" w:rsidRDefault="00B54810" w:rsidP="00606EAC">
            <w:pPr>
              <w:spacing w:after="0" w:line="240" w:lineRule="auto"/>
              <w:ind w:right="368"/>
              <w:rPr>
                <w:rFonts w:asciiTheme="minorHAnsi" w:hAnsiTheme="minorHAnsi"/>
              </w:rPr>
            </w:pPr>
            <w:r w:rsidRPr="00377B49">
              <w:rPr>
                <w:rFonts w:asciiTheme="minorHAnsi" w:hAnsiTheme="minorHAnsi"/>
              </w:rPr>
              <w:t>Antecedentes</w:t>
            </w:r>
          </w:p>
        </w:tc>
        <w:tc>
          <w:tcPr>
            <w:tcW w:w="3907" w:type="pct"/>
          </w:tcPr>
          <w:p w:rsidR="00B54810" w:rsidRPr="00377B49" w:rsidRDefault="00B54810" w:rsidP="00D03658">
            <w:pPr>
              <w:pStyle w:val="ListParagraph"/>
              <w:numPr>
                <w:ilvl w:val="0"/>
                <w:numId w:val="19"/>
              </w:numPr>
              <w:spacing w:after="0" w:line="240" w:lineRule="auto"/>
              <w:ind w:left="336" w:right="34"/>
              <w:cnfStyle w:val="000000000000" w:firstRow="0" w:lastRow="0" w:firstColumn="0" w:lastColumn="0" w:oddVBand="0" w:evenVBand="0" w:oddHBand="0" w:evenHBand="0" w:firstRowFirstColumn="0" w:firstRowLastColumn="0" w:lastRowFirstColumn="0" w:lastRowLastColumn="0"/>
              <w:rPr>
                <w:rFonts w:asciiTheme="minorHAnsi" w:hAnsiTheme="minorHAnsi"/>
                <w:lang w:val="es-ES"/>
              </w:rPr>
            </w:pPr>
            <w:r w:rsidRPr="00377B49">
              <w:rPr>
                <w:rFonts w:asciiTheme="minorHAnsi" w:hAnsiTheme="minorHAnsi"/>
                <w:lang w:val="es-ES"/>
              </w:rPr>
              <w:t>Ley de Sustancias Peligrosas HSNO (Hazardous Substances and New Organisms) de 1996: Regula importación, manufactura, almacenamiento, transporte y uso de sustancias peligrosas</w:t>
            </w:r>
            <w:r>
              <w:rPr>
                <w:rFonts w:asciiTheme="minorHAnsi" w:hAnsiTheme="minorHAnsi"/>
                <w:lang w:val="es-ES"/>
              </w:rPr>
              <w:t>.</w:t>
            </w:r>
          </w:p>
          <w:p w:rsidR="00B54810" w:rsidRPr="00377B49" w:rsidRDefault="00B54810" w:rsidP="00D03658">
            <w:pPr>
              <w:pStyle w:val="ListParagraph"/>
              <w:numPr>
                <w:ilvl w:val="0"/>
                <w:numId w:val="19"/>
              </w:numPr>
              <w:spacing w:after="0" w:line="240" w:lineRule="auto"/>
              <w:ind w:left="336" w:right="34"/>
              <w:cnfStyle w:val="000000000000" w:firstRow="0" w:lastRow="0" w:firstColumn="0" w:lastColumn="0" w:oddVBand="0" w:evenVBand="0" w:oddHBand="0" w:evenHBand="0" w:firstRowFirstColumn="0" w:firstRowLastColumn="0" w:lastRowFirstColumn="0" w:lastRowLastColumn="0"/>
              <w:rPr>
                <w:rFonts w:asciiTheme="minorHAnsi" w:hAnsiTheme="minorHAnsi"/>
                <w:lang w:val="es-ES"/>
              </w:rPr>
            </w:pPr>
            <w:r w:rsidRPr="00377B49">
              <w:rPr>
                <w:rFonts w:asciiTheme="minorHAnsi" w:hAnsiTheme="minorHAnsi"/>
                <w:lang w:val="es-ES"/>
              </w:rPr>
              <w:t>Se realizó una extensiva consulta con partes involucradas como gobierno, industria y grupos sociales para posterior capacitación.</w:t>
            </w:r>
          </w:p>
          <w:p w:rsidR="00B54810" w:rsidRPr="00377B49" w:rsidRDefault="00B54810" w:rsidP="00D03658">
            <w:pPr>
              <w:pStyle w:val="ListParagraph"/>
              <w:numPr>
                <w:ilvl w:val="0"/>
                <w:numId w:val="19"/>
              </w:numPr>
              <w:spacing w:after="0" w:line="240" w:lineRule="auto"/>
              <w:ind w:left="336" w:right="34"/>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377B49">
              <w:rPr>
                <w:rFonts w:asciiTheme="minorHAnsi" w:hAnsiTheme="minorHAnsi"/>
              </w:rPr>
              <w:t>Nueva Zelandia fue el primer país en implementar el GHS a nivel mundial</w:t>
            </w:r>
            <w:r>
              <w:rPr>
                <w:rFonts w:asciiTheme="minorHAnsi" w:hAnsiTheme="minorHAnsi"/>
              </w:rPr>
              <w:t>.</w:t>
            </w:r>
          </w:p>
        </w:tc>
      </w:tr>
      <w:tr w:rsidR="00B54810" w:rsidRPr="00377B49" w:rsidTr="00AB22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3" w:type="pct"/>
            <w:tcBorders>
              <w:top w:val="none" w:sz="0" w:space="0" w:color="auto"/>
              <w:left w:val="none" w:sz="0" w:space="0" w:color="auto"/>
              <w:bottom w:val="none" w:sz="0" w:space="0" w:color="auto"/>
            </w:tcBorders>
          </w:tcPr>
          <w:p w:rsidR="00B54810" w:rsidRPr="00377B49" w:rsidRDefault="00B54810" w:rsidP="00606EAC">
            <w:pPr>
              <w:spacing w:after="0" w:line="240" w:lineRule="auto"/>
              <w:ind w:right="368"/>
              <w:jc w:val="left"/>
              <w:rPr>
                <w:rFonts w:asciiTheme="minorHAnsi" w:hAnsiTheme="minorHAnsi"/>
              </w:rPr>
            </w:pPr>
            <w:r w:rsidRPr="00377B49">
              <w:rPr>
                <w:rFonts w:asciiTheme="minorHAnsi" w:hAnsiTheme="minorHAnsi"/>
              </w:rPr>
              <w:t>Estrategia de implementación</w:t>
            </w:r>
          </w:p>
        </w:tc>
        <w:tc>
          <w:tcPr>
            <w:tcW w:w="3907" w:type="pct"/>
            <w:tcBorders>
              <w:top w:val="none" w:sz="0" w:space="0" w:color="auto"/>
              <w:bottom w:val="none" w:sz="0" w:space="0" w:color="auto"/>
              <w:right w:val="none" w:sz="0" w:space="0" w:color="auto"/>
            </w:tcBorders>
          </w:tcPr>
          <w:p w:rsidR="00B54810" w:rsidRDefault="00B54810" w:rsidP="00D03658">
            <w:pPr>
              <w:pStyle w:val="ListParagraph"/>
              <w:numPr>
                <w:ilvl w:val="0"/>
                <w:numId w:val="20"/>
              </w:numPr>
              <w:spacing w:after="0" w:line="240" w:lineRule="auto"/>
              <w:ind w:left="336" w:right="34"/>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377B49">
              <w:rPr>
                <w:rFonts w:asciiTheme="minorHAnsi" w:hAnsiTheme="minorHAnsi"/>
              </w:rPr>
              <w:t>El sistema GHS se implementó en los 4 sectores: transporte, industria, consumidores y agricultura y adoptó todas las clases y categorías de peligro.</w:t>
            </w:r>
          </w:p>
          <w:p w:rsidR="00B54810" w:rsidRPr="00377B49" w:rsidRDefault="00B54810" w:rsidP="00D03658">
            <w:pPr>
              <w:pStyle w:val="ListParagraph"/>
              <w:spacing w:after="0" w:line="240" w:lineRule="auto"/>
              <w:ind w:left="336" w:right="34"/>
              <w:cnfStyle w:val="000000100000" w:firstRow="0" w:lastRow="0" w:firstColumn="0" w:lastColumn="0" w:oddVBand="0" w:evenVBand="0" w:oddHBand="1" w:evenHBand="0" w:firstRowFirstColumn="0" w:firstRowLastColumn="0" w:lastRowFirstColumn="0" w:lastRowLastColumn="0"/>
              <w:rPr>
                <w:rFonts w:asciiTheme="minorHAnsi" w:hAnsiTheme="minorHAnsi"/>
              </w:rPr>
            </w:pPr>
          </w:p>
          <w:p w:rsidR="00B54810" w:rsidRPr="00377B49" w:rsidRDefault="00B54810" w:rsidP="00D03658">
            <w:pPr>
              <w:spacing w:after="0" w:line="240" w:lineRule="auto"/>
              <w:ind w:left="336" w:right="34"/>
              <w:cnfStyle w:val="000000100000" w:firstRow="0" w:lastRow="0" w:firstColumn="0" w:lastColumn="0" w:oddVBand="0" w:evenVBand="0" w:oddHBand="1" w:evenHBand="0" w:firstRowFirstColumn="0" w:firstRowLastColumn="0" w:lastRowFirstColumn="0" w:lastRowLastColumn="0"/>
              <w:rPr>
                <w:rFonts w:asciiTheme="minorHAnsi" w:hAnsiTheme="minorHAnsi"/>
                <w:u w:val="single"/>
              </w:rPr>
            </w:pPr>
            <w:r w:rsidRPr="00377B49">
              <w:rPr>
                <w:rFonts w:asciiTheme="minorHAnsi" w:hAnsiTheme="minorHAnsi"/>
                <w:u w:val="single"/>
              </w:rPr>
              <w:t>Sector Transporte:</w:t>
            </w:r>
          </w:p>
          <w:p w:rsidR="00B54810" w:rsidRPr="00377B49" w:rsidRDefault="00B54810" w:rsidP="00D03658">
            <w:pPr>
              <w:pStyle w:val="ListParagraph"/>
              <w:numPr>
                <w:ilvl w:val="0"/>
                <w:numId w:val="21"/>
              </w:numPr>
              <w:spacing w:after="0" w:line="240" w:lineRule="auto"/>
              <w:ind w:left="336" w:right="34"/>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377B49">
              <w:rPr>
                <w:rFonts w:asciiTheme="minorHAnsi" w:hAnsiTheme="minorHAnsi"/>
              </w:rPr>
              <w:t>En adición a la regulación basada en GHS de HSNO, este sector está regulado por la Ley de Transporte terrestre de sustancias peligrosas que está en concordancia con las Regulaciones Modelos de la</w:t>
            </w:r>
            <w:r>
              <w:rPr>
                <w:rFonts w:asciiTheme="minorHAnsi" w:hAnsiTheme="minorHAnsi"/>
              </w:rPr>
              <w:t xml:space="preserve"> ONU</w:t>
            </w:r>
            <w:r w:rsidRPr="00377B49">
              <w:rPr>
                <w:rFonts w:asciiTheme="minorHAnsi" w:hAnsiTheme="minorHAnsi"/>
              </w:rPr>
              <w:t>.</w:t>
            </w:r>
          </w:p>
          <w:p w:rsidR="00B54810" w:rsidRPr="00377B49" w:rsidRDefault="00B54810" w:rsidP="00D03658">
            <w:pPr>
              <w:pStyle w:val="ListParagraph"/>
              <w:numPr>
                <w:ilvl w:val="0"/>
                <w:numId w:val="21"/>
              </w:numPr>
              <w:spacing w:after="0" w:line="240" w:lineRule="auto"/>
              <w:ind w:left="336" w:right="34"/>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377B49">
              <w:rPr>
                <w:rFonts w:asciiTheme="minorHAnsi" w:hAnsiTheme="minorHAnsi"/>
              </w:rPr>
              <w:t>Plazo para etiquetado según GHS: Abril 2006</w:t>
            </w:r>
            <w:r>
              <w:rPr>
                <w:rFonts w:asciiTheme="minorHAnsi" w:hAnsiTheme="minorHAnsi"/>
              </w:rPr>
              <w:t>.</w:t>
            </w:r>
          </w:p>
          <w:p w:rsidR="00B54810" w:rsidRDefault="00B54810" w:rsidP="00D03658">
            <w:pPr>
              <w:spacing w:after="0" w:line="240" w:lineRule="auto"/>
              <w:ind w:left="336" w:right="34"/>
              <w:cnfStyle w:val="000000100000" w:firstRow="0" w:lastRow="0" w:firstColumn="0" w:lastColumn="0" w:oddVBand="0" w:evenVBand="0" w:oddHBand="1" w:evenHBand="0" w:firstRowFirstColumn="0" w:firstRowLastColumn="0" w:lastRowFirstColumn="0" w:lastRowLastColumn="0"/>
              <w:rPr>
                <w:rFonts w:asciiTheme="minorHAnsi" w:hAnsiTheme="minorHAnsi"/>
                <w:u w:val="single"/>
              </w:rPr>
            </w:pPr>
          </w:p>
          <w:p w:rsidR="00B54810" w:rsidRPr="00377B49" w:rsidRDefault="00B54810" w:rsidP="00D03658">
            <w:pPr>
              <w:spacing w:after="0" w:line="240" w:lineRule="auto"/>
              <w:ind w:left="336" w:right="34"/>
              <w:cnfStyle w:val="000000100000" w:firstRow="0" w:lastRow="0" w:firstColumn="0" w:lastColumn="0" w:oddVBand="0" w:evenVBand="0" w:oddHBand="1" w:evenHBand="0" w:firstRowFirstColumn="0" w:firstRowLastColumn="0" w:lastRowFirstColumn="0" w:lastRowLastColumn="0"/>
              <w:rPr>
                <w:rFonts w:asciiTheme="minorHAnsi" w:hAnsiTheme="minorHAnsi"/>
                <w:u w:val="single"/>
              </w:rPr>
            </w:pPr>
            <w:r w:rsidRPr="00377B49">
              <w:rPr>
                <w:rFonts w:asciiTheme="minorHAnsi" w:hAnsiTheme="minorHAnsi"/>
                <w:u w:val="single"/>
              </w:rPr>
              <w:t>Sector Industria:</w:t>
            </w:r>
          </w:p>
          <w:p w:rsidR="00B54810" w:rsidRPr="00377B49" w:rsidRDefault="00B54810" w:rsidP="00D03658">
            <w:pPr>
              <w:pStyle w:val="ListParagraph"/>
              <w:numPr>
                <w:ilvl w:val="0"/>
                <w:numId w:val="20"/>
              </w:numPr>
              <w:spacing w:after="0" w:line="240" w:lineRule="auto"/>
              <w:ind w:left="336" w:right="34"/>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377B49">
              <w:rPr>
                <w:rFonts w:asciiTheme="minorHAnsi" w:hAnsiTheme="minorHAnsi"/>
              </w:rPr>
              <w:t xml:space="preserve">El GHS se implementó el año 2001, incluyendo sus disposiciones como referencia a la HSNO, específicamente, los criterios de clasificación se encuentran en las </w:t>
            </w:r>
            <w:r w:rsidRPr="00377B49">
              <w:rPr>
                <w:rFonts w:asciiTheme="minorHAnsi" w:hAnsiTheme="minorHAnsi"/>
                <w:b/>
              </w:rPr>
              <w:t>Regulaciones de clasificación y categorías de peligros de sustancias peligrosas</w:t>
            </w:r>
            <w:r w:rsidRPr="00377B49">
              <w:rPr>
                <w:rFonts w:asciiTheme="minorHAnsi" w:hAnsiTheme="minorHAnsi"/>
              </w:rPr>
              <w:t xml:space="preserve"> del año 2001, mi</w:t>
            </w:r>
            <w:r>
              <w:rPr>
                <w:rFonts w:asciiTheme="minorHAnsi" w:hAnsiTheme="minorHAnsi"/>
              </w:rPr>
              <w:t xml:space="preserve">entras que las </w:t>
            </w:r>
            <w:r w:rsidRPr="00377B49">
              <w:rPr>
                <w:rFonts w:asciiTheme="minorHAnsi" w:hAnsiTheme="minorHAnsi"/>
                <w:b/>
              </w:rPr>
              <w:t>Regulaciones de identificación de sustancias peligrosas</w:t>
            </w:r>
            <w:r w:rsidRPr="00377B49">
              <w:rPr>
                <w:rFonts w:asciiTheme="minorHAnsi" w:hAnsiTheme="minorHAnsi"/>
              </w:rPr>
              <w:t xml:space="preserve"> del año 2001 contienen los requisitos de entrega de información en las etiquetas de sustancias peligrosas y las fichas de datos de seguridad que adoptan los elementos de comunicación.</w:t>
            </w:r>
          </w:p>
          <w:p w:rsidR="00B54810" w:rsidRPr="00377B49" w:rsidRDefault="00B54810" w:rsidP="00D03658">
            <w:pPr>
              <w:pStyle w:val="ListParagraph"/>
              <w:numPr>
                <w:ilvl w:val="0"/>
                <w:numId w:val="21"/>
              </w:numPr>
              <w:spacing w:after="0" w:line="240" w:lineRule="auto"/>
              <w:ind w:left="336" w:right="34"/>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377B49">
              <w:rPr>
                <w:rFonts w:asciiTheme="minorHAnsi" w:hAnsiTheme="minorHAnsi"/>
              </w:rPr>
              <w:t>La nueva regulación fue aplicable a nuevas sustancias desde Julio 2001. Un período inicial de 3 años de transición fue ampliado a 5 años (2006) para todas las sustancias existentes.</w:t>
            </w:r>
          </w:p>
          <w:p w:rsidR="00B54810" w:rsidRPr="00377B49" w:rsidRDefault="00B54810" w:rsidP="00D03658">
            <w:pPr>
              <w:pStyle w:val="ListParagraph"/>
              <w:numPr>
                <w:ilvl w:val="0"/>
                <w:numId w:val="21"/>
              </w:numPr>
              <w:spacing w:after="0" w:line="240" w:lineRule="auto"/>
              <w:ind w:left="336" w:right="34"/>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377B49">
              <w:rPr>
                <w:rFonts w:asciiTheme="minorHAnsi" w:hAnsiTheme="minorHAnsi"/>
              </w:rPr>
              <w:t>Se creó una base de datos de información de clasificación químicas (CCID) para ayudar a las industrias a clasificar sus productos.</w:t>
            </w:r>
          </w:p>
          <w:p w:rsidR="00B54810" w:rsidRDefault="00B54810" w:rsidP="00D03658">
            <w:pPr>
              <w:spacing w:after="0" w:line="240" w:lineRule="auto"/>
              <w:ind w:left="336" w:right="34"/>
              <w:cnfStyle w:val="000000100000" w:firstRow="0" w:lastRow="0" w:firstColumn="0" w:lastColumn="0" w:oddVBand="0" w:evenVBand="0" w:oddHBand="1" w:evenHBand="0" w:firstRowFirstColumn="0" w:firstRowLastColumn="0" w:lastRowFirstColumn="0" w:lastRowLastColumn="0"/>
              <w:rPr>
                <w:rFonts w:asciiTheme="minorHAnsi" w:hAnsiTheme="minorHAnsi"/>
                <w:u w:val="single"/>
              </w:rPr>
            </w:pPr>
          </w:p>
          <w:p w:rsidR="00B54810" w:rsidRPr="00377B49" w:rsidRDefault="00B54810" w:rsidP="00D03658">
            <w:pPr>
              <w:spacing w:after="0" w:line="240" w:lineRule="auto"/>
              <w:ind w:left="336" w:right="34"/>
              <w:cnfStyle w:val="000000100000" w:firstRow="0" w:lastRow="0" w:firstColumn="0" w:lastColumn="0" w:oddVBand="0" w:evenVBand="0" w:oddHBand="1" w:evenHBand="0" w:firstRowFirstColumn="0" w:firstRowLastColumn="0" w:lastRowFirstColumn="0" w:lastRowLastColumn="0"/>
              <w:rPr>
                <w:rFonts w:asciiTheme="minorHAnsi" w:hAnsiTheme="minorHAnsi"/>
                <w:u w:val="single"/>
              </w:rPr>
            </w:pPr>
            <w:r w:rsidRPr="00377B49">
              <w:rPr>
                <w:rFonts w:asciiTheme="minorHAnsi" w:hAnsiTheme="minorHAnsi"/>
                <w:u w:val="single"/>
              </w:rPr>
              <w:t>Sector Consumidores</w:t>
            </w:r>
          </w:p>
          <w:p w:rsidR="00B54810" w:rsidRPr="00377B49" w:rsidRDefault="00B54810" w:rsidP="00D03658">
            <w:pPr>
              <w:pStyle w:val="ListParagraph"/>
              <w:numPr>
                <w:ilvl w:val="0"/>
                <w:numId w:val="23"/>
              </w:numPr>
              <w:spacing w:after="0" w:line="240" w:lineRule="auto"/>
              <w:ind w:left="336" w:right="34"/>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377B49">
              <w:rPr>
                <w:rFonts w:asciiTheme="minorHAnsi" w:hAnsiTheme="minorHAnsi"/>
              </w:rPr>
              <w:t>Período de 5 años de transición (hasta Julio 2006). Los productos de consumo fueron incluidos en HSNO mediante el decreto de normas específicas del sector</w:t>
            </w:r>
            <w:r>
              <w:rPr>
                <w:rFonts w:asciiTheme="minorHAnsi" w:hAnsiTheme="minorHAnsi"/>
              </w:rPr>
              <w:t>.</w:t>
            </w:r>
          </w:p>
        </w:tc>
      </w:tr>
      <w:tr w:rsidR="00B54810" w:rsidRPr="00377B49" w:rsidTr="00AB22A8">
        <w:tc>
          <w:tcPr>
            <w:cnfStyle w:val="001000000000" w:firstRow="0" w:lastRow="0" w:firstColumn="1" w:lastColumn="0" w:oddVBand="0" w:evenVBand="0" w:oddHBand="0" w:evenHBand="0" w:firstRowFirstColumn="0" w:firstRowLastColumn="0" w:lastRowFirstColumn="0" w:lastRowLastColumn="0"/>
            <w:tcW w:w="1093" w:type="pct"/>
          </w:tcPr>
          <w:p w:rsidR="00B54810" w:rsidRPr="00377B49" w:rsidRDefault="00B54810" w:rsidP="00606EAC">
            <w:pPr>
              <w:spacing w:after="0" w:line="240" w:lineRule="auto"/>
              <w:ind w:right="368"/>
              <w:rPr>
                <w:rFonts w:asciiTheme="minorHAnsi" w:hAnsiTheme="minorHAnsi"/>
              </w:rPr>
            </w:pPr>
            <w:r w:rsidRPr="00377B49">
              <w:rPr>
                <w:rFonts w:asciiTheme="minorHAnsi" w:hAnsiTheme="minorHAnsi"/>
              </w:rPr>
              <w:t>Resultados</w:t>
            </w:r>
          </w:p>
        </w:tc>
        <w:tc>
          <w:tcPr>
            <w:tcW w:w="3907" w:type="pct"/>
          </w:tcPr>
          <w:p w:rsidR="00B54810" w:rsidRPr="00377B49" w:rsidRDefault="00B54810" w:rsidP="00D03658">
            <w:pPr>
              <w:pStyle w:val="ListParagraph"/>
              <w:numPr>
                <w:ilvl w:val="0"/>
                <w:numId w:val="22"/>
              </w:numPr>
              <w:spacing w:after="0" w:line="240" w:lineRule="auto"/>
              <w:ind w:left="336" w:right="34"/>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377B49">
              <w:rPr>
                <w:rFonts w:asciiTheme="minorHAnsi" w:hAnsiTheme="minorHAnsi"/>
              </w:rPr>
              <w:t>Al ser el primer país en implementar GHS, hubo dificultades en la clasificación de mezclas por falta de información.</w:t>
            </w:r>
          </w:p>
          <w:p w:rsidR="00B54810" w:rsidRPr="00377B49" w:rsidRDefault="00B54810" w:rsidP="00D03658">
            <w:pPr>
              <w:pStyle w:val="ListParagraph"/>
              <w:numPr>
                <w:ilvl w:val="0"/>
                <w:numId w:val="22"/>
              </w:numPr>
              <w:spacing w:after="0" w:line="240" w:lineRule="auto"/>
              <w:ind w:left="336" w:right="34"/>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377B49">
              <w:rPr>
                <w:rFonts w:asciiTheme="minorHAnsi" w:hAnsiTheme="minorHAnsi"/>
              </w:rPr>
              <w:t>Inconvenientes en el etiquetado de pesticidas y productos de uso doméstico dado que es más común el enfoque basado en los riesgos.</w:t>
            </w:r>
          </w:p>
        </w:tc>
      </w:tr>
    </w:tbl>
    <w:p w:rsidR="00B54810" w:rsidRDefault="00B54810" w:rsidP="00606EAC">
      <w:pPr>
        <w:ind w:right="368"/>
      </w:pPr>
    </w:p>
    <w:p w:rsidR="00652805" w:rsidRPr="00D03658" w:rsidRDefault="00652805" w:rsidP="00606EAC">
      <w:pPr>
        <w:pStyle w:val="Heading2"/>
        <w:ind w:left="0" w:firstLine="0"/>
      </w:pPr>
      <w:bookmarkStart w:id="83" w:name="_Toc393660302"/>
      <w:bookmarkStart w:id="84" w:name="_Toc418168884"/>
      <w:r w:rsidRPr="00D03658">
        <w:t>Posición de la FAO con respecto al sistema GHS</w:t>
      </w:r>
      <w:bookmarkEnd w:id="83"/>
      <w:bookmarkEnd w:id="84"/>
    </w:p>
    <w:p w:rsidR="00652805" w:rsidRPr="00D03658" w:rsidRDefault="00652805" w:rsidP="00606EAC">
      <w:pPr>
        <w:jc w:val="both"/>
        <w:rPr>
          <w:rFonts w:cs="TimesNewRoman"/>
          <w:sz w:val="22"/>
          <w:szCs w:val="22"/>
          <w:lang w:val="es-ES"/>
        </w:rPr>
      </w:pPr>
      <w:r w:rsidRPr="00D03658">
        <w:rPr>
          <w:sz w:val="22"/>
          <w:szCs w:val="22"/>
        </w:rPr>
        <w:t>La FAO (</w:t>
      </w:r>
      <w:r w:rsidRPr="00D03658">
        <w:rPr>
          <w:rFonts w:cs="TimesNewRoman"/>
          <w:sz w:val="22"/>
          <w:szCs w:val="22"/>
          <w:lang w:val="es-ES"/>
        </w:rPr>
        <w:t xml:space="preserve">Organización de las Naciones Unidas para la Alimentación y la Agricultura) a través de su </w:t>
      </w:r>
      <w:r w:rsidRPr="00D03658">
        <w:rPr>
          <w:bCs/>
          <w:sz w:val="22"/>
          <w:szCs w:val="22"/>
        </w:rPr>
        <w:t xml:space="preserve">División de Producción y Protección Vegetal (AGP) establece un Código Internacional de Conducta para la Distribución y Utilización de Plaguicidas de carácter voluntario que incluye normas de conductas para todas las entidades públicas y privadas </w:t>
      </w:r>
      <w:r w:rsidRPr="00D03658">
        <w:rPr>
          <w:rFonts w:cs="TimesNewRoman"/>
          <w:sz w:val="22"/>
          <w:szCs w:val="22"/>
          <w:lang w:val="es-ES"/>
        </w:rPr>
        <w:t xml:space="preserve">que intervienen en la distribución y utilización de plaguicidas o tienen relación con los mismos, particularmente en los casos en que no hay una legislación nacional para regular los plaguicidas o la que existe es inadecuada. Este Código implementa a través de Directrices Técnicas que </w:t>
      </w:r>
      <w:r w:rsidRPr="00D03658">
        <w:rPr>
          <w:sz w:val="22"/>
          <w:szCs w:val="22"/>
        </w:rPr>
        <w:t xml:space="preserve">abarcan varios campos: Legislación, Política, Registro, Cumplimiento y Aplicación, Distribución y Ventas, Uso y Equipo de Aplicación y Vigilancia y Post-registro y que </w:t>
      </w:r>
      <w:r w:rsidRPr="00D03658">
        <w:rPr>
          <w:rFonts w:cs="TimesNewRoman"/>
          <w:sz w:val="22"/>
          <w:szCs w:val="22"/>
          <w:lang w:val="es-ES"/>
        </w:rPr>
        <w:t xml:space="preserve">son elaboradas por un Panel de Expertos de la FAO y OMS (Organización Mundial de la Salud) el cual </w:t>
      </w:r>
      <w:r w:rsidRPr="00D03658">
        <w:rPr>
          <w:sz w:val="22"/>
          <w:szCs w:val="22"/>
        </w:rPr>
        <w:t>asesora sobre temas relativos a las directrices sobre plaguicidas, su manejo y utilización, emite alertas sobre el desarrollo de nuevos productos, problemas o preocupaciones que merecen atención y es responsable de la revisión y actualización del Código.</w:t>
      </w:r>
    </w:p>
    <w:p w:rsidR="00652805" w:rsidRPr="00D03658" w:rsidRDefault="00652805" w:rsidP="00606EAC">
      <w:pPr>
        <w:jc w:val="both"/>
        <w:rPr>
          <w:rFonts w:cs="TimesNewRoman"/>
          <w:sz w:val="22"/>
          <w:szCs w:val="22"/>
          <w:lang w:val="es-ES"/>
        </w:rPr>
      </w:pPr>
      <w:r w:rsidRPr="00D03658">
        <w:rPr>
          <w:rFonts w:cs="TimesNewRoman"/>
          <w:sz w:val="22"/>
          <w:szCs w:val="22"/>
          <w:lang w:val="es-ES"/>
        </w:rPr>
        <w:t xml:space="preserve">Inicialmente, de acuerdo a lo establecido en el Código, la clasificación de los plaguicidas recomendada por la OMS se basa en sus riesgos o grado de toxicidad aguda oral y/o dérmica, existiendo 4 clases de peligro: </w:t>
      </w:r>
    </w:p>
    <w:p w:rsidR="00652805" w:rsidRPr="00D03658" w:rsidRDefault="00872364" w:rsidP="00606EAC">
      <w:pPr>
        <w:contextualSpacing/>
        <w:jc w:val="both"/>
        <w:rPr>
          <w:rFonts w:cs="TimesNewRoman"/>
          <w:sz w:val="22"/>
          <w:szCs w:val="22"/>
          <w:lang w:val="es-ES"/>
        </w:rPr>
      </w:pPr>
      <w:r w:rsidRPr="00D03658">
        <w:rPr>
          <w:rFonts w:cs="TimesNewRoman"/>
          <w:sz w:val="22"/>
          <w:szCs w:val="22"/>
          <w:lang w:val="es-ES"/>
        </w:rPr>
        <w:t xml:space="preserve">    </w:t>
      </w:r>
      <w:r w:rsidR="00652805" w:rsidRPr="00D03658">
        <w:rPr>
          <w:rFonts w:cs="TimesNewRoman"/>
          <w:sz w:val="22"/>
          <w:szCs w:val="22"/>
          <w:lang w:val="es-ES"/>
        </w:rPr>
        <w:t xml:space="preserve"> IA) Extremadamente Peligrosos </w:t>
      </w:r>
    </w:p>
    <w:p w:rsidR="00652805" w:rsidRPr="00D03658" w:rsidRDefault="00652805" w:rsidP="00606EAC">
      <w:pPr>
        <w:ind w:firstLine="360"/>
        <w:contextualSpacing/>
        <w:jc w:val="both"/>
        <w:rPr>
          <w:rFonts w:cs="TimesNewRoman"/>
          <w:sz w:val="22"/>
          <w:szCs w:val="22"/>
          <w:lang w:val="es-ES"/>
        </w:rPr>
      </w:pPr>
      <w:r w:rsidRPr="00D03658">
        <w:rPr>
          <w:rFonts w:cs="TimesNewRoman"/>
          <w:sz w:val="22"/>
          <w:szCs w:val="22"/>
          <w:lang w:val="es-ES"/>
        </w:rPr>
        <w:t>IB) Altamente Peligrosos</w:t>
      </w:r>
    </w:p>
    <w:p w:rsidR="00652805" w:rsidRPr="00D03658" w:rsidRDefault="00652805" w:rsidP="00606EAC">
      <w:pPr>
        <w:ind w:firstLine="360"/>
        <w:contextualSpacing/>
        <w:jc w:val="both"/>
        <w:rPr>
          <w:rFonts w:cs="TimesNewRoman"/>
          <w:sz w:val="22"/>
          <w:szCs w:val="22"/>
          <w:lang w:val="es-ES"/>
        </w:rPr>
      </w:pPr>
      <w:r w:rsidRPr="00D03658">
        <w:rPr>
          <w:rFonts w:cs="TimesNewRoman"/>
          <w:sz w:val="22"/>
          <w:szCs w:val="22"/>
          <w:lang w:val="es-ES"/>
        </w:rPr>
        <w:t xml:space="preserve">II)  Moderadamente Peligrosos </w:t>
      </w:r>
    </w:p>
    <w:p w:rsidR="00652805" w:rsidRPr="00D03658" w:rsidRDefault="00652805" w:rsidP="00606EAC">
      <w:pPr>
        <w:ind w:firstLine="360"/>
        <w:contextualSpacing/>
        <w:jc w:val="both"/>
        <w:rPr>
          <w:rFonts w:cs="TimesNewRoman"/>
          <w:sz w:val="22"/>
          <w:szCs w:val="22"/>
          <w:lang w:val="es-ES"/>
        </w:rPr>
      </w:pPr>
      <w:r w:rsidRPr="00D03658">
        <w:rPr>
          <w:rFonts w:cs="TimesNewRoman"/>
          <w:sz w:val="22"/>
          <w:szCs w:val="22"/>
          <w:lang w:val="es-ES"/>
        </w:rPr>
        <w:t>III) Poco Peligrosos</w:t>
      </w:r>
    </w:p>
    <w:p w:rsidR="00652805" w:rsidRPr="00D03658" w:rsidRDefault="00652805" w:rsidP="00606EAC">
      <w:pPr>
        <w:ind w:firstLine="357"/>
        <w:jc w:val="both"/>
        <w:rPr>
          <w:rFonts w:cs="TimesNewRoman"/>
          <w:sz w:val="22"/>
          <w:szCs w:val="22"/>
          <w:lang w:val="es-ES"/>
        </w:rPr>
      </w:pPr>
      <w:r w:rsidRPr="00D03658">
        <w:rPr>
          <w:rFonts w:cs="TimesNewRoman"/>
          <w:sz w:val="22"/>
          <w:szCs w:val="22"/>
          <w:lang w:val="es-ES"/>
        </w:rPr>
        <w:t>IV) No ofrecen peligro bajo uso normal</w:t>
      </w:r>
    </w:p>
    <w:p w:rsidR="00652805" w:rsidRPr="00D03658" w:rsidRDefault="00652805" w:rsidP="00606EAC">
      <w:pPr>
        <w:jc w:val="both"/>
        <w:rPr>
          <w:rFonts w:cs="TimesNewRoman"/>
          <w:sz w:val="22"/>
          <w:szCs w:val="22"/>
          <w:lang w:val="es-ES"/>
        </w:rPr>
      </w:pPr>
      <w:r w:rsidRPr="00D03658">
        <w:rPr>
          <w:rFonts w:cs="TimesNewRoman"/>
          <w:sz w:val="22"/>
          <w:szCs w:val="22"/>
          <w:lang w:val="es-ES"/>
        </w:rPr>
        <w:t>Por otra parte, en el etiquetado de plaguicidas, la FAO establece asignar bandas de colores a cada una de las clases de peligro con la correspondiente indicación de peligro y uno o dos símbolos de riesgo (pictogramas).</w:t>
      </w:r>
    </w:p>
    <w:p w:rsidR="00652805" w:rsidRPr="00D03658" w:rsidRDefault="00652805" w:rsidP="00606EAC">
      <w:pPr>
        <w:jc w:val="both"/>
        <w:rPr>
          <w:rFonts w:cs="TimesNewRoman"/>
          <w:sz w:val="22"/>
          <w:szCs w:val="22"/>
          <w:lang w:val="es-ES"/>
        </w:rPr>
      </w:pPr>
      <w:r w:rsidRPr="00D03658">
        <w:rPr>
          <w:rFonts w:cs="TimesNewRoman"/>
          <w:sz w:val="22"/>
          <w:szCs w:val="22"/>
          <w:lang w:val="es-ES"/>
        </w:rPr>
        <w:t>Para la implementación del GHS en el campo de los pesticidas, en los últimos años la FAO ha revisado y actualizado el Código, principalmente a través de 3 criterios principales:</w:t>
      </w:r>
    </w:p>
    <w:p w:rsidR="00652805" w:rsidRPr="00D03658" w:rsidRDefault="00652805" w:rsidP="00D4302C">
      <w:pPr>
        <w:pStyle w:val="ListParagraph"/>
        <w:numPr>
          <w:ilvl w:val="0"/>
          <w:numId w:val="52"/>
        </w:numPr>
        <w:contextualSpacing w:val="0"/>
        <w:jc w:val="both"/>
        <w:rPr>
          <w:sz w:val="22"/>
          <w:szCs w:val="22"/>
        </w:rPr>
      </w:pPr>
      <w:r w:rsidRPr="00D03658">
        <w:rPr>
          <w:rFonts w:cs="TimesNewRoman"/>
          <w:sz w:val="22"/>
          <w:szCs w:val="22"/>
          <w:lang w:val="es-ES"/>
        </w:rPr>
        <w:t>L</w:t>
      </w:r>
      <w:r w:rsidRPr="00D03658">
        <w:rPr>
          <w:sz w:val="22"/>
          <w:szCs w:val="22"/>
        </w:rPr>
        <w:t>a integración de los principios de clasificación de peligro del GHS en la Directriz Técnica de la FAO “Directrices para el Registro de Plaguicidas”</w:t>
      </w:r>
    </w:p>
    <w:p w:rsidR="00652805" w:rsidRPr="00D03658" w:rsidRDefault="00652805" w:rsidP="00D4302C">
      <w:pPr>
        <w:pStyle w:val="ListParagraph"/>
        <w:numPr>
          <w:ilvl w:val="0"/>
          <w:numId w:val="52"/>
        </w:numPr>
        <w:contextualSpacing w:val="0"/>
        <w:jc w:val="both"/>
        <w:rPr>
          <w:sz w:val="22"/>
          <w:szCs w:val="22"/>
        </w:rPr>
      </w:pPr>
      <w:r w:rsidRPr="00D03658">
        <w:rPr>
          <w:sz w:val="22"/>
          <w:szCs w:val="22"/>
        </w:rPr>
        <w:t>La integración de los principios de etiquetado del GHS en la Directriz Técnica de la FAO “</w:t>
      </w:r>
      <w:r w:rsidRPr="00D03658">
        <w:rPr>
          <w:rFonts w:cs="Arial"/>
          <w:sz w:val="22"/>
          <w:szCs w:val="22"/>
        </w:rPr>
        <w:t>Directrices sobre las buenas prácticas de etiquetado para los plaguicidas</w:t>
      </w:r>
      <w:r w:rsidRPr="00D03658">
        <w:rPr>
          <w:sz w:val="22"/>
          <w:szCs w:val="22"/>
        </w:rPr>
        <w:t>”</w:t>
      </w:r>
    </w:p>
    <w:p w:rsidR="00652805" w:rsidRPr="00D03658" w:rsidRDefault="00652805" w:rsidP="00D4302C">
      <w:pPr>
        <w:pStyle w:val="ListParagraph"/>
        <w:numPr>
          <w:ilvl w:val="0"/>
          <w:numId w:val="52"/>
        </w:numPr>
        <w:contextualSpacing w:val="0"/>
        <w:jc w:val="both"/>
        <w:rPr>
          <w:sz w:val="22"/>
          <w:szCs w:val="22"/>
        </w:rPr>
      </w:pPr>
      <w:r w:rsidRPr="00D03658">
        <w:rPr>
          <w:sz w:val="22"/>
          <w:szCs w:val="22"/>
        </w:rPr>
        <w:t>Sensibilización y Capacitación de los reguladores, fabricantes, distribuidores y consumidores de Pesticidas sobre el GHS a través de programas de manejo de pesticidas y en colaboración con otros actores.</w:t>
      </w:r>
    </w:p>
    <w:p w:rsidR="00652805" w:rsidRPr="00D03658" w:rsidRDefault="00652805" w:rsidP="00606EAC">
      <w:pPr>
        <w:autoSpaceDE w:val="0"/>
        <w:autoSpaceDN w:val="0"/>
        <w:adjustRightInd w:val="0"/>
        <w:jc w:val="both"/>
        <w:rPr>
          <w:sz w:val="22"/>
          <w:szCs w:val="22"/>
          <w:lang w:val="es-ES"/>
        </w:rPr>
      </w:pPr>
      <w:r w:rsidRPr="00D03658">
        <w:rPr>
          <w:sz w:val="22"/>
          <w:szCs w:val="22"/>
        </w:rPr>
        <w:t>En el año 2009, la OMS actualizó su “Recomendación de Clasificación de pesticidas según riesgo” incluyendo lo establecido por el nuevo sistema GHS. En esta actualización, se utilizan los criterios de clasificación que toman en cuenta las categorías de toxicidad oral y dérmica aguda del GHS como un punto de partida para la asignación de una clase de riesgo de la OMS a los plaguicidas. Como resultado, se obtuvo una reclasificación de las clases de peligros de los plaguicidas existentes correspondientes a las 5 categorías que establece el GHS.</w:t>
      </w:r>
    </w:p>
    <w:p w:rsidR="00652805" w:rsidRPr="00D03658" w:rsidRDefault="00652805" w:rsidP="00606EAC">
      <w:pPr>
        <w:jc w:val="both"/>
        <w:rPr>
          <w:rFonts w:cs="Times-Bold"/>
          <w:bCs/>
          <w:sz w:val="22"/>
          <w:szCs w:val="22"/>
          <w:lang w:val="es-ES"/>
        </w:rPr>
      </w:pPr>
      <w:r w:rsidRPr="00D03658">
        <w:rPr>
          <w:sz w:val="22"/>
          <w:szCs w:val="22"/>
        </w:rPr>
        <w:t xml:space="preserve">En el año 2013, la FAO actualizó el </w:t>
      </w:r>
      <w:r w:rsidRPr="00D03658">
        <w:rPr>
          <w:bCs/>
          <w:sz w:val="22"/>
          <w:szCs w:val="22"/>
        </w:rPr>
        <w:t xml:space="preserve">Código Internacional de Conducta para la Distribución y Utilización de Plaguicidas, donde en forma general, se hace hincapié en la importancia del GHS, incorporándolo en los artículos referentes a Disponibilidad y Utilización, Distribución y Comercio y </w:t>
      </w:r>
      <w:r w:rsidRPr="00D03658">
        <w:rPr>
          <w:rFonts w:cs="Times-Bold"/>
          <w:bCs/>
          <w:sz w:val="22"/>
          <w:szCs w:val="22"/>
          <w:lang w:val="es-ES"/>
        </w:rPr>
        <w:t>Etiquetado, envasado, almacenamiento y eliminación de plaguicidas. En forma adicional, y como una medida transitoria, la FAO recomienda que se incluyan ambos sistemas de clasificación, el antiguo OMS y el nuevo GHS, en la Directriz Técnica sobre las buenas prácticas de etiquetado en los plaguicidas, la cual podría ser objeto de revisión en el corto plazo.</w:t>
      </w:r>
    </w:p>
    <w:p w:rsidR="00652805" w:rsidRPr="00D03658" w:rsidRDefault="00652805" w:rsidP="00606EAC">
      <w:pPr>
        <w:jc w:val="both"/>
        <w:rPr>
          <w:rFonts w:cs="Times-Bold"/>
          <w:bCs/>
          <w:sz w:val="22"/>
          <w:szCs w:val="22"/>
          <w:lang w:val="es-ES"/>
        </w:rPr>
      </w:pPr>
      <w:r w:rsidRPr="00D03658">
        <w:rPr>
          <w:rFonts w:cs="Times-Bold"/>
          <w:bCs/>
          <w:sz w:val="22"/>
          <w:szCs w:val="22"/>
          <w:lang w:val="es-ES"/>
        </w:rPr>
        <w:t>Las modificaciones realizadas al Código sobre el GHS son las siguientes (texto destacado en Negrita color rojo):</w:t>
      </w:r>
    </w:p>
    <w:p w:rsidR="00652805" w:rsidRPr="00D03658" w:rsidRDefault="00652805" w:rsidP="00D4302C">
      <w:pPr>
        <w:pStyle w:val="ListParagraph"/>
        <w:numPr>
          <w:ilvl w:val="0"/>
          <w:numId w:val="53"/>
        </w:numPr>
        <w:autoSpaceDE w:val="0"/>
        <w:autoSpaceDN w:val="0"/>
        <w:adjustRightInd w:val="0"/>
        <w:contextualSpacing w:val="0"/>
        <w:jc w:val="both"/>
        <w:rPr>
          <w:rFonts w:cs="Times-Roman"/>
          <w:sz w:val="22"/>
          <w:szCs w:val="22"/>
          <w:lang w:val="es-ES"/>
        </w:rPr>
      </w:pPr>
      <w:r w:rsidRPr="00D03658">
        <w:rPr>
          <w:rFonts w:cs="Times-Roman"/>
          <w:sz w:val="22"/>
          <w:szCs w:val="22"/>
          <w:lang w:val="es-ES"/>
        </w:rPr>
        <w:t xml:space="preserve">Los gobiernos deberían conocer y </w:t>
      </w:r>
      <w:r w:rsidRPr="00D03658">
        <w:rPr>
          <w:rFonts w:cs="Times-Bold"/>
          <w:b/>
          <w:bCs/>
          <w:color w:val="FF0000"/>
          <w:sz w:val="22"/>
          <w:szCs w:val="22"/>
          <w:lang w:val="es-ES"/>
        </w:rPr>
        <w:t>utilizar el Sistema Globalmente</w:t>
      </w:r>
      <w:r w:rsidRPr="00D03658">
        <w:rPr>
          <w:rFonts w:cs="Times-Roman"/>
          <w:color w:val="FF0000"/>
          <w:sz w:val="22"/>
          <w:szCs w:val="22"/>
          <w:lang w:val="es-ES"/>
        </w:rPr>
        <w:t xml:space="preserve"> </w:t>
      </w:r>
      <w:r w:rsidRPr="00D03658">
        <w:rPr>
          <w:rFonts w:cs="Times-Bold"/>
          <w:b/>
          <w:bCs/>
          <w:color w:val="FF0000"/>
          <w:sz w:val="22"/>
          <w:szCs w:val="22"/>
          <w:lang w:val="es-ES"/>
        </w:rPr>
        <w:t>Armonizado de Clasificación y Etiquetado de</w:t>
      </w:r>
      <w:r w:rsidRPr="00D03658">
        <w:rPr>
          <w:rFonts w:cs="Times-Roman"/>
          <w:color w:val="FF0000"/>
          <w:sz w:val="22"/>
          <w:szCs w:val="22"/>
          <w:lang w:val="es-ES"/>
        </w:rPr>
        <w:t xml:space="preserve"> </w:t>
      </w:r>
      <w:r w:rsidRPr="00D03658">
        <w:rPr>
          <w:rFonts w:cs="Times-Bold"/>
          <w:b/>
          <w:bCs/>
          <w:color w:val="FF0000"/>
          <w:sz w:val="22"/>
          <w:szCs w:val="22"/>
          <w:lang w:val="es-ES"/>
        </w:rPr>
        <w:t>Productos Químicos (GHS) de las Naciones</w:t>
      </w:r>
      <w:r w:rsidRPr="00D03658">
        <w:rPr>
          <w:rFonts w:cs="Times-Roman"/>
          <w:color w:val="FF0000"/>
          <w:sz w:val="22"/>
          <w:szCs w:val="22"/>
          <w:lang w:val="es-ES"/>
        </w:rPr>
        <w:t xml:space="preserve"> </w:t>
      </w:r>
      <w:r w:rsidRPr="00D03658">
        <w:rPr>
          <w:rFonts w:cs="Times-Bold"/>
          <w:b/>
          <w:bCs/>
          <w:color w:val="FF0000"/>
          <w:sz w:val="22"/>
          <w:szCs w:val="22"/>
          <w:lang w:val="es-ES"/>
        </w:rPr>
        <w:t>Unidas y</w:t>
      </w:r>
      <w:r w:rsidRPr="00D03658">
        <w:rPr>
          <w:rFonts w:cs="Times-Bold"/>
          <w:b/>
          <w:bCs/>
          <w:sz w:val="22"/>
          <w:szCs w:val="22"/>
          <w:lang w:val="es-ES"/>
        </w:rPr>
        <w:t xml:space="preserve"> </w:t>
      </w:r>
      <w:r w:rsidRPr="00D03658">
        <w:rPr>
          <w:rFonts w:cs="Times-Roman"/>
          <w:sz w:val="22"/>
          <w:szCs w:val="22"/>
          <w:lang w:val="es-ES"/>
        </w:rPr>
        <w:t>la clasificación de los plaguicidas según sus peligros recomendada por la OMS como base para sus propias disposiciones reglamentarias, y relacionar los tipos de peligro con símbolos de peligro bien reconocidos.</w:t>
      </w:r>
    </w:p>
    <w:p w:rsidR="00652805" w:rsidRPr="00D03658" w:rsidRDefault="00652805" w:rsidP="00D4302C">
      <w:pPr>
        <w:pStyle w:val="ListParagraph"/>
        <w:numPr>
          <w:ilvl w:val="0"/>
          <w:numId w:val="53"/>
        </w:numPr>
        <w:autoSpaceDE w:val="0"/>
        <w:autoSpaceDN w:val="0"/>
        <w:adjustRightInd w:val="0"/>
        <w:contextualSpacing w:val="0"/>
        <w:jc w:val="both"/>
        <w:rPr>
          <w:rFonts w:cs="Times-Bold"/>
          <w:b/>
          <w:bCs/>
          <w:sz w:val="22"/>
          <w:szCs w:val="22"/>
          <w:lang w:val="es-ES"/>
        </w:rPr>
      </w:pPr>
      <w:r w:rsidRPr="00D03658">
        <w:rPr>
          <w:rFonts w:cs="Times-Roman"/>
          <w:sz w:val="22"/>
          <w:szCs w:val="22"/>
          <w:lang w:val="es-ES"/>
        </w:rPr>
        <w:t xml:space="preserve">La industria de plaguicidas debería adoptar todas las medidas necesarias para asegurar que los plaguicidas </w:t>
      </w:r>
      <w:r w:rsidRPr="00D03658">
        <w:rPr>
          <w:rFonts w:cs="Times-Italic"/>
          <w:iCs/>
          <w:sz w:val="22"/>
          <w:szCs w:val="22"/>
          <w:lang w:val="es-ES"/>
        </w:rPr>
        <w:t>objeto de</w:t>
      </w:r>
      <w:r w:rsidRPr="00D03658">
        <w:rPr>
          <w:rFonts w:cs="Times-Roman"/>
          <w:sz w:val="22"/>
          <w:szCs w:val="22"/>
          <w:lang w:val="es-ES"/>
        </w:rPr>
        <w:t xml:space="preserve"> comercio internacional se ajusten, como mínimo a: los principios incluidos en </w:t>
      </w:r>
      <w:r w:rsidRPr="00D03658">
        <w:rPr>
          <w:rFonts w:cs="Times-Bold"/>
          <w:b/>
          <w:bCs/>
          <w:color w:val="FF0000"/>
          <w:sz w:val="22"/>
          <w:szCs w:val="22"/>
          <w:lang w:val="es-ES"/>
        </w:rPr>
        <w:t>el GHS y</w:t>
      </w:r>
      <w:r w:rsidRPr="00D03658">
        <w:rPr>
          <w:rFonts w:cs="Times-Bold"/>
          <w:b/>
          <w:bCs/>
          <w:sz w:val="22"/>
          <w:szCs w:val="22"/>
          <w:lang w:val="es-ES"/>
        </w:rPr>
        <w:t xml:space="preserve"> </w:t>
      </w:r>
      <w:r w:rsidRPr="00D03658">
        <w:rPr>
          <w:rFonts w:cs="Times-Roman"/>
          <w:sz w:val="22"/>
          <w:szCs w:val="22"/>
          <w:lang w:val="es-ES"/>
        </w:rPr>
        <w:t xml:space="preserve">las correspondientes directrices de la FAO </w:t>
      </w:r>
      <w:r w:rsidRPr="00D03658">
        <w:rPr>
          <w:rFonts w:cs="Times-Bold"/>
          <w:b/>
          <w:bCs/>
          <w:color w:val="FF0000"/>
          <w:sz w:val="22"/>
          <w:szCs w:val="22"/>
          <w:lang w:val="es-ES"/>
        </w:rPr>
        <w:t>o la OMS</w:t>
      </w:r>
      <w:r w:rsidRPr="00D03658">
        <w:rPr>
          <w:rFonts w:cs="Times-Bold"/>
          <w:b/>
          <w:bCs/>
          <w:sz w:val="22"/>
          <w:szCs w:val="22"/>
          <w:lang w:val="es-ES"/>
        </w:rPr>
        <w:t xml:space="preserve"> </w:t>
      </w:r>
      <w:r w:rsidRPr="00D03658">
        <w:rPr>
          <w:rFonts w:cs="Times-Roman"/>
          <w:sz w:val="22"/>
          <w:szCs w:val="22"/>
          <w:lang w:val="es-ES"/>
        </w:rPr>
        <w:t>sobre clasificación y etiquetado.</w:t>
      </w:r>
    </w:p>
    <w:p w:rsidR="00652805" w:rsidRPr="00D03658" w:rsidRDefault="00652805" w:rsidP="00D4302C">
      <w:pPr>
        <w:pStyle w:val="ListParagraph"/>
        <w:numPr>
          <w:ilvl w:val="0"/>
          <w:numId w:val="53"/>
        </w:numPr>
        <w:autoSpaceDE w:val="0"/>
        <w:autoSpaceDN w:val="0"/>
        <w:adjustRightInd w:val="0"/>
        <w:contextualSpacing w:val="0"/>
        <w:jc w:val="both"/>
        <w:rPr>
          <w:rFonts w:cs="Times-Roman"/>
          <w:sz w:val="22"/>
          <w:szCs w:val="22"/>
          <w:lang w:val="es-ES"/>
        </w:rPr>
      </w:pPr>
      <w:r w:rsidRPr="00D03658">
        <w:rPr>
          <w:rFonts w:cs="Times-Roman"/>
          <w:sz w:val="22"/>
          <w:szCs w:val="22"/>
          <w:lang w:val="es-ES"/>
        </w:rPr>
        <w:t xml:space="preserve">Todos los envases de plaguicidas deberían ir claramente etiquetados en consonancia con </w:t>
      </w:r>
      <w:r w:rsidRPr="00D03658">
        <w:rPr>
          <w:rFonts w:cs="Times-Bold"/>
          <w:b/>
          <w:bCs/>
          <w:color w:val="FF0000"/>
          <w:sz w:val="22"/>
          <w:szCs w:val="22"/>
          <w:lang w:val="es-ES"/>
        </w:rPr>
        <w:t>el GHS</w:t>
      </w:r>
      <w:r w:rsidRPr="00D03658">
        <w:rPr>
          <w:rFonts w:cs="Times-Bold"/>
          <w:b/>
          <w:bCs/>
          <w:sz w:val="22"/>
          <w:szCs w:val="22"/>
          <w:lang w:val="es-ES"/>
        </w:rPr>
        <w:t xml:space="preserve"> </w:t>
      </w:r>
      <w:r w:rsidRPr="00D03658">
        <w:rPr>
          <w:rFonts w:cs="Times-Roman"/>
          <w:sz w:val="22"/>
          <w:szCs w:val="22"/>
          <w:lang w:val="es-ES"/>
        </w:rPr>
        <w:t xml:space="preserve">y las directrices de la FAO </w:t>
      </w:r>
      <w:r w:rsidRPr="00D03658">
        <w:rPr>
          <w:rFonts w:cs="Times-Bold"/>
          <w:b/>
          <w:bCs/>
          <w:color w:val="FF0000"/>
          <w:sz w:val="22"/>
          <w:szCs w:val="22"/>
          <w:lang w:val="es-ES"/>
        </w:rPr>
        <w:t>y la OMS</w:t>
      </w:r>
      <w:r w:rsidRPr="00D03658">
        <w:rPr>
          <w:rFonts w:cs="Times-Bold"/>
          <w:b/>
          <w:bCs/>
          <w:sz w:val="22"/>
          <w:szCs w:val="22"/>
          <w:lang w:val="es-ES"/>
        </w:rPr>
        <w:t xml:space="preserve"> </w:t>
      </w:r>
      <w:r w:rsidRPr="00D03658">
        <w:rPr>
          <w:rFonts w:cs="Times-Roman"/>
          <w:sz w:val="22"/>
          <w:szCs w:val="22"/>
          <w:lang w:val="es-ES"/>
        </w:rPr>
        <w:t xml:space="preserve">sobre buenas prácticas de etiquetado </w:t>
      </w:r>
      <w:r w:rsidRPr="00D03658">
        <w:rPr>
          <w:rFonts w:cs="Times-Bold"/>
          <w:b/>
          <w:bCs/>
          <w:color w:val="FF0000"/>
          <w:sz w:val="22"/>
          <w:szCs w:val="22"/>
          <w:lang w:val="es-ES"/>
        </w:rPr>
        <w:t>de plaguicidas</w:t>
      </w:r>
      <w:r w:rsidRPr="00D03658">
        <w:rPr>
          <w:rFonts w:cs="Times-Roman"/>
          <w:sz w:val="22"/>
          <w:szCs w:val="22"/>
          <w:lang w:val="es-ES"/>
        </w:rPr>
        <w:t>.</w:t>
      </w:r>
    </w:p>
    <w:p w:rsidR="00652805" w:rsidRPr="00D03658" w:rsidRDefault="00652805" w:rsidP="00D4302C">
      <w:pPr>
        <w:pStyle w:val="ListParagraph"/>
        <w:numPr>
          <w:ilvl w:val="0"/>
          <w:numId w:val="53"/>
        </w:numPr>
        <w:autoSpaceDE w:val="0"/>
        <w:autoSpaceDN w:val="0"/>
        <w:adjustRightInd w:val="0"/>
        <w:contextualSpacing w:val="0"/>
        <w:jc w:val="both"/>
        <w:rPr>
          <w:rFonts w:cs="Times-Bold"/>
          <w:b/>
          <w:bCs/>
          <w:color w:val="FF0000"/>
          <w:sz w:val="22"/>
          <w:szCs w:val="22"/>
          <w:lang w:val="es-ES"/>
        </w:rPr>
      </w:pPr>
      <w:r w:rsidRPr="00D03658">
        <w:rPr>
          <w:rFonts w:cs="Times-Roman"/>
          <w:sz w:val="22"/>
          <w:szCs w:val="22"/>
          <w:lang w:val="es-ES"/>
        </w:rPr>
        <w:t xml:space="preserve">La industria de plaguicidas debería usar etiquetas que cumplan los requisitos nacionales </w:t>
      </w:r>
      <w:r w:rsidRPr="00D03658">
        <w:rPr>
          <w:rFonts w:cs="Times-Bold"/>
          <w:b/>
          <w:bCs/>
          <w:color w:val="FF0000"/>
          <w:sz w:val="22"/>
          <w:szCs w:val="22"/>
          <w:lang w:val="es-ES"/>
        </w:rPr>
        <w:t>y las recomendaciones de las directrices de la FAO y la OMS sobre etiquetado de plaguicidas, así como el GHS y, cuando proceda, otros requisitos internacionales para el etiquetado</w:t>
      </w:r>
      <w:r w:rsidRPr="00D03658">
        <w:rPr>
          <w:rFonts w:cs="Times-Roman"/>
          <w:color w:val="FF0000"/>
          <w:sz w:val="22"/>
          <w:szCs w:val="22"/>
          <w:lang w:val="es-ES"/>
        </w:rPr>
        <w:t>.</w:t>
      </w:r>
    </w:p>
    <w:p w:rsidR="00652805" w:rsidRPr="00D03658" w:rsidRDefault="00652805" w:rsidP="00606EAC">
      <w:pPr>
        <w:autoSpaceDE w:val="0"/>
        <w:autoSpaceDN w:val="0"/>
        <w:adjustRightInd w:val="0"/>
        <w:jc w:val="both"/>
        <w:rPr>
          <w:rFonts w:cs="Times-Bold"/>
          <w:bCs/>
          <w:sz w:val="22"/>
          <w:szCs w:val="22"/>
          <w:lang w:val="es-ES"/>
        </w:rPr>
      </w:pPr>
      <w:r w:rsidRPr="00D03658">
        <w:rPr>
          <w:rFonts w:cs="Times-Bold"/>
          <w:bCs/>
          <w:sz w:val="22"/>
          <w:szCs w:val="22"/>
          <w:lang w:val="es-ES"/>
        </w:rPr>
        <w:t>La introducción de estas recomendaciones ayudará a la implementación del GHS para la clasificación y etiquetado en los países, ya que en su gran mayoría, dependen de las guías entregadas por la FAO y la OMS para la clasificación toxicológica de pesticidas.</w:t>
      </w:r>
    </w:p>
    <w:p w:rsidR="00652805" w:rsidRDefault="00652805" w:rsidP="00606EAC">
      <w:pPr>
        <w:autoSpaceDE w:val="0"/>
        <w:autoSpaceDN w:val="0"/>
        <w:adjustRightInd w:val="0"/>
        <w:jc w:val="both"/>
        <w:rPr>
          <w:rFonts w:cs="Times-Bold"/>
          <w:bCs/>
          <w:sz w:val="22"/>
          <w:szCs w:val="22"/>
          <w:lang w:val="es-ES"/>
        </w:rPr>
      </w:pPr>
      <w:r w:rsidRPr="00D03658">
        <w:rPr>
          <w:rFonts w:cs="Times-Bold"/>
          <w:bCs/>
          <w:sz w:val="22"/>
          <w:szCs w:val="22"/>
          <w:lang w:val="es-ES"/>
        </w:rPr>
        <w:t>Por lo tanto se observa una postura clara de la FAO: incorporación gradual de sistema GHS al sistema actual de etiquetado de plaguicidas.</w:t>
      </w:r>
    </w:p>
    <w:p w:rsidR="005912F0" w:rsidRDefault="005912F0" w:rsidP="00606EAC">
      <w:pPr>
        <w:autoSpaceDE w:val="0"/>
        <w:autoSpaceDN w:val="0"/>
        <w:adjustRightInd w:val="0"/>
        <w:jc w:val="both"/>
        <w:rPr>
          <w:rFonts w:cs="Times-Bold"/>
          <w:bCs/>
          <w:sz w:val="22"/>
          <w:szCs w:val="22"/>
          <w:lang w:val="es-ES"/>
        </w:rPr>
      </w:pPr>
    </w:p>
    <w:p w:rsidR="005912F0" w:rsidRDefault="005912F0" w:rsidP="00606EAC">
      <w:pPr>
        <w:autoSpaceDE w:val="0"/>
        <w:autoSpaceDN w:val="0"/>
        <w:adjustRightInd w:val="0"/>
        <w:jc w:val="both"/>
        <w:rPr>
          <w:rFonts w:cs="Times-Bold"/>
          <w:bCs/>
          <w:sz w:val="22"/>
          <w:szCs w:val="22"/>
          <w:lang w:val="es-ES"/>
        </w:rPr>
      </w:pPr>
    </w:p>
    <w:p w:rsidR="005912F0" w:rsidRDefault="005912F0" w:rsidP="00606EAC">
      <w:pPr>
        <w:autoSpaceDE w:val="0"/>
        <w:autoSpaceDN w:val="0"/>
        <w:adjustRightInd w:val="0"/>
        <w:jc w:val="both"/>
        <w:rPr>
          <w:rFonts w:cs="Times-Bold"/>
          <w:bCs/>
          <w:sz w:val="22"/>
          <w:szCs w:val="22"/>
          <w:lang w:val="es-ES"/>
        </w:rPr>
      </w:pPr>
    </w:p>
    <w:p w:rsidR="005912F0" w:rsidRDefault="005912F0" w:rsidP="00606EAC">
      <w:pPr>
        <w:autoSpaceDE w:val="0"/>
        <w:autoSpaceDN w:val="0"/>
        <w:adjustRightInd w:val="0"/>
        <w:jc w:val="both"/>
        <w:rPr>
          <w:rFonts w:cs="Times-Bold"/>
          <w:bCs/>
          <w:sz w:val="22"/>
          <w:szCs w:val="22"/>
          <w:lang w:val="es-ES"/>
        </w:rPr>
      </w:pPr>
    </w:p>
    <w:p w:rsidR="007846A5" w:rsidRPr="000D5FCA" w:rsidRDefault="000D5FCA" w:rsidP="00606EAC">
      <w:pPr>
        <w:pStyle w:val="Heading1"/>
        <w:spacing w:before="180" w:after="180" w:line="264" w:lineRule="auto"/>
        <w:ind w:left="0" w:firstLine="0"/>
        <w:rPr>
          <w:rFonts w:asciiTheme="minorHAnsi" w:hAnsiTheme="minorHAnsi"/>
          <w:caps w:val="0"/>
          <w:lang w:val="es-CL"/>
        </w:rPr>
      </w:pPr>
      <w:bookmarkStart w:id="85" w:name="_Toc418168885"/>
      <w:r>
        <w:rPr>
          <w:rFonts w:asciiTheme="minorHAnsi" w:hAnsiTheme="minorHAnsi"/>
          <w:caps w:val="0"/>
        </w:rPr>
        <w:t>DIAGNÓSTICO TÉCNICO DE LA SITUACIÓN ACTUAL</w:t>
      </w:r>
      <w:bookmarkEnd w:id="85"/>
    </w:p>
    <w:p w:rsidR="008F1313" w:rsidRPr="007B42E4" w:rsidRDefault="00276315" w:rsidP="007B42E4">
      <w:pPr>
        <w:spacing w:line="266" w:lineRule="auto"/>
        <w:jc w:val="both"/>
        <w:rPr>
          <w:sz w:val="22"/>
          <w:szCs w:val="22"/>
        </w:rPr>
      </w:pPr>
      <w:r w:rsidRPr="00276315">
        <w:rPr>
          <w:sz w:val="22"/>
          <w:szCs w:val="22"/>
        </w:rPr>
        <w:t>En base a la información recopilada en los puntos anteriores</w:t>
      </w:r>
      <w:r>
        <w:rPr>
          <w:sz w:val="22"/>
          <w:szCs w:val="22"/>
        </w:rPr>
        <w:t xml:space="preserve"> sobre las actividades detalladas en el documento guía de UNITAR, los recursos para el intercambio de información sobre implementación de GHS entre países proporcionados por los organismos internacionales OCDE y APEC y las instancias de cooperación técnico-financiero y/o </w:t>
      </w:r>
      <w:r w:rsidR="00C44B3C">
        <w:rPr>
          <w:sz w:val="22"/>
          <w:szCs w:val="22"/>
        </w:rPr>
        <w:t>acuerdos existentes, se evaluarán</w:t>
      </w:r>
      <w:r>
        <w:rPr>
          <w:sz w:val="22"/>
          <w:szCs w:val="22"/>
        </w:rPr>
        <w:t xml:space="preserve"> </w:t>
      </w:r>
      <w:r w:rsidRPr="00276315">
        <w:rPr>
          <w:sz w:val="22"/>
          <w:szCs w:val="22"/>
        </w:rPr>
        <w:t>las actividades</w:t>
      </w:r>
      <w:r w:rsidR="00C44B3C">
        <w:rPr>
          <w:sz w:val="22"/>
          <w:szCs w:val="22"/>
        </w:rPr>
        <w:t xml:space="preserve"> realizadas</w:t>
      </w:r>
      <w:r>
        <w:rPr>
          <w:sz w:val="22"/>
          <w:szCs w:val="22"/>
        </w:rPr>
        <w:t xml:space="preserve"> en el país hasta el momento sobre implementación del GHS mediante la comparación del estado de estas acciones con las sugeridas de realizar</w:t>
      </w:r>
      <w:r w:rsidR="003B086A">
        <w:rPr>
          <w:sz w:val="22"/>
          <w:szCs w:val="22"/>
        </w:rPr>
        <w:t>,</w:t>
      </w:r>
      <w:r w:rsidR="00714BF3">
        <w:rPr>
          <w:sz w:val="22"/>
          <w:szCs w:val="22"/>
        </w:rPr>
        <w:t xml:space="preserve"> con lo cual se identificarán las brechas técnicas existentes</w:t>
      </w:r>
      <w:r w:rsidR="003B086A">
        <w:rPr>
          <w:sz w:val="22"/>
          <w:szCs w:val="22"/>
        </w:rPr>
        <w:t xml:space="preserve"> y se establecerá un plan de trabajo para resolver aquellas factibles de solucionar en el corto plazo.</w:t>
      </w:r>
    </w:p>
    <w:p w:rsidR="00F54061" w:rsidRDefault="00F54061" w:rsidP="00606EAC">
      <w:pPr>
        <w:pStyle w:val="Heading2"/>
        <w:spacing w:before="0" w:after="180"/>
        <w:ind w:left="0" w:firstLine="0"/>
        <w:rPr>
          <w:lang w:val="es-CL"/>
        </w:rPr>
      </w:pPr>
      <w:bookmarkStart w:id="86" w:name="_Toc418168886"/>
      <w:r>
        <w:rPr>
          <w:lang w:val="es-CL"/>
        </w:rPr>
        <w:t>Identificación de brechas técnicas</w:t>
      </w:r>
      <w:bookmarkEnd w:id="86"/>
    </w:p>
    <w:p w:rsidR="00F54061" w:rsidRDefault="00F54061" w:rsidP="00606EAC">
      <w:pPr>
        <w:jc w:val="both"/>
        <w:rPr>
          <w:sz w:val="22"/>
          <w:szCs w:val="22"/>
          <w:lang w:val="es-CL"/>
        </w:rPr>
      </w:pPr>
      <w:r w:rsidRPr="00F54061">
        <w:rPr>
          <w:sz w:val="22"/>
          <w:szCs w:val="22"/>
          <w:lang w:val="es-CL"/>
        </w:rPr>
        <w:t>En la siguiente tabla se detalla el estado de las actividades realizadas en Chile en el contexto de la implementación del GHS, tomando como base las acciones sugeridas en la documentación guía.</w:t>
      </w:r>
    </w:p>
    <w:p w:rsidR="00F54061" w:rsidRPr="00872364" w:rsidRDefault="00F54061" w:rsidP="00606EAC">
      <w:pPr>
        <w:spacing w:after="0" w:line="240" w:lineRule="auto"/>
        <w:jc w:val="center"/>
        <w:rPr>
          <w:b/>
          <w:sz w:val="22"/>
          <w:szCs w:val="22"/>
          <w:lang w:val="es-CL"/>
        </w:rPr>
      </w:pPr>
      <w:r w:rsidRPr="00872364">
        <w:rPr>
          <w:b/>
          <w:sz w:val="22"/>
          <w:szCs w:val="22"/>
          <w:lang w:val="es-CL"/>
        </w:rPr>
        <w:t>Tabla 6. Estado de avance de actividades para implementación de GHS</w:t>
      </w:r>
    </w:p>
    <w:tbl>
      <w:tblPr>
        <w:tblStyle w:val="Listaclara-nfasis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1541"/>
        <w:gridCol w:w="5485"/>
      </w:tblGrid>
      <w:tr w:rsidR="00F54061" w:rsidRPr="00F54061" w:rsidTr="005912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3" w:type="dxa"/>
            <w:vAlign w:val="center"/>
          </w:tcPr>
          <w:p w:rsidR="00F54061" w:rsidRPr="00872364" w:rsidRDefault="00F54061" w:rsidP="000C3606">
            <w:pPr>
              <w:contextualSpacing/>
              <w:jc w:val="center"/>
              <w:rPr>
                <w:rFonts w:asciiTheme="minorHAnsi" w:hAnsiTheme="minorHAnsi"/>
                <w:b w:val="0"/>
                <w:sz w:val="22"/>
                <w:szCs w:val="22"/>
                <w:lang w:val="es-CL"/>
              </w:rPr>
            </w:pPr>
            <w:r w:rsidRPr="00872364">
              <w:rPr>
                <w:rFonts w:asciiTheme="minorHAnsi" w:hAnsiTheme="minorHAnsi"/>
                <w:sz w:val="22"/>
                <w:szCs w:val="22"/>
                <w:lang w:val="es-CL"/>
              </w:rPr>
              <w:t>Actividad</w:t>
            </w:r>
          </w:p>
        </w:tc>
        <w:tc>
          <w:tcPr>
            <w:tcW w:w="1559" w:type="dxa"/>
            <w:vAlign w:val="center"/>
          </w:tcPr>
          <w:p w:rsidR="00F54061" w:rsidRPr="00872364" w:rsidRDefault="00F54061" w:rsidP="000C3606">
            <w:pPr>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22"/>
                <w:szCs w:val="22"/>
                <w:lang w:val="es-CL"/>
              </w:rPr>
            </w:pPr>
            <w:r w:rsidRPr="00872364">
              <w:rPr>
                <w:rFonts w:asciiTheme="minorHAnsi" w:hAnsiTheme="minorHAnsi"/>
                <w:sz w:val="22"/>
                <w:szCs w:val="22"/>
                <w:lang w:val="es-CL"/>
              </w:rPr>
              <w:t>Realizado en Chile (Sí/No)</w:t>
            </w:r>
          </w:p>
        </w:tc>
        <w:tc>
          <w:tcPr>
            <w:tcW w:w="5687" w:type="dxa"/>
            <w:vAlign w:val="center"/>
          </w:tcPr>
          <w:p w:rsidR="00F54061" w:rsidRPr="00F54061" w:rsidRDefault="00F54061" w:rsidP="000C3606">
            <w:pPr>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22"/>
                <w:szCs w:val="22"/>
                <w:lang w:val="es-CL"/>
              </w:rPr>
            </w:pPr>
            <w:r w:rsidRPr="00872364">
              <w:rPr>
                <w:rFonts w:asciiTheme="minorHAnsi" w:hAnsiTheme="minorHAnsi"/>
                <w:sz w:val="22"/>
                <w:szCs w:val="22"/>
                <w:lang w:val="es-CL"/>
              </w:rPr>
              <w:t>Comentario</w:t>
            </w:r>
          </w:p>
        </w:tc>
      </w:tr>
      <w:tr w:rsidR="00F54061" w:rsidRPr="00F54061" w:rsidTr="005912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3" w:type="dxa"/>
            <w:tcBorders>
              <w:top w:val="none" w:sz="0" w:space="0" w:color="auto"/>
              <w:left w:val="none" w:sz="0" w:space="0" w:color="auto"/>
              <w:bottom w:val="none" w:sz="0" w:space="0" w:color="auto"/>
            </w:tcBorders>
            <w:vAlign w:val="center"/>
          </w:tcPr>
          <w:p w:rsidR="00F54061" w:rsidRPr="00F54061" w:rsidRDefault="00F54061" w:rsidP="000C3606">
            <w:pPr>
              <w:contextualSpacing/>
              <w:jc w:val="left"/>
              <w:rPr>
                <w:rFonts w:asciiTheme="minorHAnsi" w:hAnsiTheme="minorHAnsi"/>
                <w:b w:val="0"/>
                <w:sz w:val="22"/>
                <w:szCs w:val="22"/>
                <w:lang w:val="es-CL"/>
              </w:rPr>
            </w:pPr>
            <w:r w:rsidRPr="00F54061">
              <w:rPr>
                <w:rFonts w:asciiTheme="minorHAnsi" w:hAnsiTheme="minorHAnsi"/>
                <w:sz w:val="22"/>
                <w:szCs w:val="22"/>
                <w:lang w:val="es-CL"/>
              </w:rPr>
              <w:t>Creación del Comité Nacional de Coordinación del GHS</w:t>
            </w:r>
          </w:p>
        </w:tc>
        <w:tc>
          <w:tcPr>
            <w:tcW w:w="1559" w:type="dxa"/>
            <w:tcBorders>
              <w:top w:val="none" w:sz="0" w:space="0" w:color="auto"/>
              <w:bottom w:val="none" w:sz="0" w:space="0" w:color="auto"/>
            </w:tcBorders>
            <w:vAlign w:val="center"/>
          </w:tcPr>
          <w:p w:rsidR="00F54061" w:rsidRPr="00F54061" w:rsidRDefault="00F54061" w:rsidP="000C3606">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sidRPr="00F54061">
              <w:rPr>
                <w:rFonts w:asciiTheme="minorHAnsi" w:hAnsiTheme="minorHAnsi"/>
                <w:sz w:val="22"/>
                <w:szCs w:val="22"/>
                <w:lang w:val="es-CL"/>
              </w:rPr>
              <w:t>Sí</w:t>
            </w:r>
          </w:p>
        </w:tc>
        <w:tc>
          <w:tcPr>
            <w:tcW w:w="5687" w:type="dxa"/>
            <w:tcBorders>
              <w:top w:val="none" w:sz="0" w:space="0" w:color="auto"/>
              <w:bottom w:val="none" w:sz="0" w:space="0" w:color="auto"/>
              <w:right w:val="none" w:sz="0" w:space="0" w:color="auto"/>
            </w:tcBorders>
          </w:tcPr>
          <w:p w:rsidR="00F54061" w:rsidRPr="00F54061" w:rsidRDefault="00F54061" w:rsidP="000C3606">
            <w:pPr>
              <w:autoSpaceDE w:val="0"/>
              <w:autoSpaceDN w:val="0"/>
              <w:adjustRightInd w:val="0"/>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sidRPr="00F54061">
              <w:rPr>
                <w:rFonts w:asciiTheme="minorHAnsi" w:hAnsiTheme="minorHAnsi"/>
                <w:sz w:val="22"/>
                <w:szCs w:val="22"/>
                <w:lang w:val="es-CL"/>
              </w:rPr>
              <w:t xml:space="preserve">Se formó el Comité Coordinador integrado por representantes de distintos sectores. Se definieron los Términos de Referencia (TDR) </w:t>
            </w:r>
            <w:r w:rsidR="00C72925">
              <w:rPr>
                <w:rFonts w:asciiTheme="minorHAnsi" w:hAnsiTheme="minorHAnsi"/>
                <w:sz w:val="22"/>
                <w:szCs w:val="22"/>
                <w:lang w:val="es-CL"/>
              </w:rPr>
              <w:t>con</w:t>
            </w:r>
            <w:r w:rsidRPr="00F54061">
              <w:rPr>
                <w:rFonts w:asciiTheme="minorHAnsi" w:hAnsiTheme="minorHAnsi"/>
                <w:sz w:val="22"/>
                <w:szCs w:val="22"/>
                <w:lang w:val="es-CL"/>
              </w:rPr>
              <w:t xml:space="preserve"> los integrantes del Comité, se estableció el plan de trabajo y presupuesto. No se ha logrado, a la fecha, participación activa de representantes de la Sociedad Civil. </w:t>
            </w:r>
          </w:p>
          <w:p w:rsidR="00F54061" w:rsidRPr="00F54061" w:rsidRDefault="00F54061" w:rsidP="000C3606">
            <w:pPr>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sidRPr="00F54061">
              <w:rPr>
                <w:rFonts w:asciiTheme="minorHAnsi" w:hAnsiTheme="minorHAnsi"/>
                <w:sz w:val="22"/>
                <w:szCs w:val="22"/>
                <w:lang w:val="es-CL"/>
              </w:rPr>
              <w:t>Los TDR definieron las responsabilidades de cada integrante quienes asumieron su compromiso frente a su participación en la implementación del GHS.</w:t>
            </w:r>
          </w:p>
        </w:tc>
      </w:tr>
      <w:tr w:rsidR="00F54061" w:rsidRPr="00F54061" w:rsidTr="005912F0">
        <w:tc>
          <w:tcPr>
            <w:cnfStyle w:val="001000000000" w:firstRow="0" w:lastRow="0" w:firstColumn="1" w:lastColumn="0" w:oddVBand="0" w:evenVBand="0" w:oddHBand="0" w:evenHBand="0" w:firstRowFirstColumn="0" w:firstRowLastColumn="0" w:lastRowFirstColumn="0" w:lastRowLastColumn="0"/>
            <w:tcW w:w="2893" w:type="dxa"/>
            <w:vAlign w:val="center"/>
          </w:tcPr>
          <w:p w:rsidR="00F54061" w:rsidRPr="00F54061" w:rsidRDefault="00F54061" w:rsidP="000C3606">
            <w:pPr>
              <w:contextualSpacing/>
              <w:jc w:val="left"/>
              <w:rPr>
                <w:rFonts w:asciiTheme="minorHAnsi" w:hAnsiTheme="minorHAnsi"/>
                <w:b w:val="0"/>
                <w:sz w:val="22"/>
                <w:szCs w:val="22"/>
                <w:lang w:val="es-CL"/>
              </w:rPr>
            </w:pPr>
            <w:r w:rsidRPr="00F54061">
              <w:rPr>
                <w:rFonts w:asciiTheme="minorHAnsi" w:hAnsiTheme="minorHAnsi"/>
                <w:sz w:val="22"/>
                <w:szCs w:val="22"/>
                <w:lang w:val="es-CL"/>
              </w:rPr>
              <w:t>Taller Nacional sobre el GHS</w:t>
            </w:r>
          </w:p>
        </w:tc>
        <w:tc>
          <w:tcPr>
            <w:tcW w:w="1559" w:type="dxa"/>
            <w:vAlign w:val="center"/>
          </w:tcPr>
          <w:p w:rsidR="00F54061" w:rsidRPr="00F54061" w:rsidRDefault="00F54061" w:rsidP="000C3606">
            <w:pPr>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s-CL"/>
              </w:rPr>
            </w:pPr>
            <w:r w:rsidRPr="00F54061">
              <w:rPr>
                <w:rFonts w:asciiTheme="minorHAnsi" w:hAnsiTheme="minorHAnsi"/>
                <w:sz w:val="22"/>
                <w:szCs w:val="22"/>
                <w:lang w:val="es-CL"/>
              </w:rPr>
              <w:t>Sí</w:t>
            </w:r>
          </w:p>
        </w:tc>
        <w:tc>
          <w:tcPr>
            <w:tcW w:w="5687" w:type="dxa"/>
          </w:tcPr>
          <w:p w:rsidR="00F54061" w:rsidRPr="00F54061" w:rsidRDefault="00F54061" w:rsidP="00287CDB">
            <w:pPr>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s-CL"/>
              </w:rPr>
            </w:pPr>
            <w:r w:rsidRPr="00F54061">
              <w:rPr>
                <w:rFonts w:asciiTheme="minorHAnsi" w:hAnsiTheme="minorHAnsi"/>
                <w:sz w:val="22"/>
                <w:szCs w:val="22"/>
                <w:lang w:val="es-CL"/>
              </w:rPr>
              <w:t xml:space="preserve">Se realizaron talleres de Coordinación, Introducción y Planificación y Capacitación de los sectores involucrados (público, privado, ONG) para sensibilización sobre el tema y aprobación de plan de trabajo y presupuesto. </w:t>
            </w:r>
          </w:p>
        </w:tc>
      </w:tr>
      <w:tr w:rsidR="00F54061" w:rsidRPr="00F54061" w:rsidTr="005912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3" w:type="dxa"/>
            <w:tcBorders>
              <w:top w:val="none" w:sz="0" w:space="0" w:color="auto"/>
              <w:left w:val="none" w:sz="0" w:space="0" w:color="auto"/>
              <w:bottom w:val="none" w:sz="0" w:space="0" w:color="auto"/>
            </w:tcBorders>
            <w:vAlign w:val="center"/>
          </w:tcPr>
          <w:p w:rsidR="00F54061" w:rsidRPr="00F54061" w:rsidRDefault="00F54061" w:rsidP="000C3606">
            <w:pPr>
              <w:contextualSpacing/>
              <w:jc w:val="left"/>
              <w:rPr>
                <w:rFonts w:asciiTheme="minorHAnsi" w:hAnsiTheme="minorHAnsi"/>
                <w:b w:val="0"/>
                <w:sz w:val="22"/>
                <w:szCs w:val="22"/>
                <w:lang w:val="es-CL"/>
              </w:rPr>
            </w:pPr>
            <w:r w:rsidRPr="00F54061">
              <w:rPr>
                <w:rFonts w:asciiTheme="minorHAnsi" w:hAnsiTheme="minorHAnsi"/>
                <w:sz w:val="22"/>
                <w:szCs w:val="22"/>
                <w:lang w:val="es-CL"/>
              </w:rPr>
              <w:t xml:space="preserve">Pruebas de inteligibilidad </w:t>
            </w:r>
          </w:p>
        </w:tc>
        <w:tc>
          <w:tcPr>
            <w:tcW w:w="1559" w:type="dxa"/>
            <w:tcBorders>
              <w:top w:val="none" w:sz="0" w:space="0" w:color="auto"/>
              <w:bottom w:val="none" w:sz="0" w:space="0" w:color="auto"/>
            </w:tcBorders>
            <w:vAlign w:val="center"/>
          </w:tcPr>
          <w:p w:rsidR="00F54061" w:rsidRPr="00F54061" w:rsidRDefault="00F54061" w:rsidP="000C3606">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sidRPr="00F54061">
              <w:rPr>
                <w:rFonts w:asciiTheme="minorHAnsi" w:hAnsiTheme="minorHAnsi"/>
                <w:sz w:val="22"/>
                <w:szCs w:val="22"/>
                <w:lang w:val="es-CL"/>
              </w:rPr>
              <w:t>No</w:t>
            </w:r>
          </w:p>
        </w:tc>
        <w:tc>
          <w:tcPr>
            <w:tcW w:w="5687" w:type="dxa"/>
            <w:tcBorders>
              <w:top w:val="none" w:sz="0" w:space="0" w:color="auto"/>
              <w:bottom w:val="none" w:sz="0" w:space="0" w:color="auto"/>
              <w:right w:val="none" w:sz="0" w:space="0" w:color="auto"/>
            </w:tcBorders>
          </w:tcPr>
          <w:p w:rsidR="00F54061" w:rsidRPr="00F54061" w:rsidRDefault="00F54061" w:rsidP="00287CDB">
            <w:pPr>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sidRPr="00F54061">
              <w:rPr>
                <w:rFonts w:asciiTheme="minorHAnsi" w:hAnsiTheme="minorHAnsi"/>
                <w:sz w:val="22"/>
                <w:szCs w:val="22"/>
                <w:lang w:val="es-CL"/>
              </w:rPr>
              <w:t>La realización de estas pruebas no está considerada en el plan de trabajo del proyecto SAICM</w:t>
            </w:r>
            <w:r w:rsidR="00287CDB">
              <w:rPr>
                <w:rFonts w:asciiTheme="minorHAnsi" w:hAnsiTheme="minorHAnsi"/>
                <w:sz w:val="22"/>
                <w:szCs w:val="22"/>
                <w:lang w:val="es-CL"/>
              </w:rPr>
              <w:t>.</w:t>
            </w:r>
          </w:p>
        </w:tc>
      </w:tr>
      <w:tr w:rsidR="00F54061" w:rsidRPr="00F54061" w:rsidTr="005912F0">
        <w:tc>
          <w:tcPr>
            <w:cnfStyle w:val="001000000000" w:firstRow="0" w:lastRow="0" w:firstColumn="1" w:lastColumn="0" w:oddVBand="0" w:evenVBand="0" w:oddHBand="0" w:evenHBand="0" w:firstRowFirstColumn="0" w:firstRowLastColumn="0" w:lastRowFirstColumn="0" w:lastRowLastColumn="0"/>
            <w:tcW w:w="2893" w:type="dxa"/>
            <w:vAlign w:val="center"/>
          </w:tcPr>
          <w:p w:rsidR="00F54061" w:rsidRPr="00F54061" w:rsidRDefault="00F54061" w:rsidP="000C3606">
            <w:pPr>
              <w:contextualSpacing/>
              <w:jc w:val="left"/>
              <w:rPr>
                <w:rFonts w:asciiTheme="minorHAnsi" w:hAnsiTheme="minorHAnsi"/>
                <w:b w:val="0"/>
                <w:sz w:val="22"/>
                <w:szCs w:val="22"/>
                <w:lang w:val="es-CL"/>
              </w:rPr>
            </w:pPr>
            <w:r w:rsidRPr="00F54061">
              <w:rPr>
                <w:rFonts w:asciiTheme="minorHAnsi" w:hAnsiTheme="minorHAnsi"/>
                <w:sz w:val="22"/>
                <w:szCs w:val="22"/>
                <w:lang w:val="es-CL"/>
              </w:rPr>
              <w:t>Análisis de Situación y Vacíos</w:t>
            </w:r>
          </w:p>
        </w:tc>
        <w:tc>
          <w:tcPr>
            <w:tcW w:w="1559" w:type="dxa"/>
            <w:vAlign w:val="center"/>
          </w:tcPr>
          <w:p w:rsidR="00F54061" w:rsidRPr="00F54061" w:rsidRDefault="00287CDB" w:rsidP="000C3606">
            <w:pPr>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s-CL"/>
              </w:rPr>
            </w:pPr>
            <w:r>
              <w:rPr>
                <w:rFonts w:asciiTheme="minorHAnsi" w:hAnsiTheme="minorHAnsi"/>
                <w:sz w:val="22"/>
                <w:szCs w:val="22"/>
                <w:lang w:val="es-CL"/>
              </w:rPr>
              <w:t>Si</w:t>
            </w:r>
          </w:p>
        </w:tc>
        <w:tc>
          <w:tcPr>
            <w:tcW w:w="5687" w:type="dxa"/>
          </w:tcPr>
          <w:p w:rsidR="00F54061" w:rsidRPr="00F54061" w:rsidRDefault="00F54061" w:rsidP="00287CDB">
            <w:pPr>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s-CL"/>
              </w:rPr>
            </w:pPr>
            <w:r w:rsidRPr="00F54061">
              <w:rPr>
                <w:rFonts w:asciiTheme="minorHAnsi" w:hAnsiTheme="minorHAnsi"/>
                <w:sz w:val="22"/>
                <w:szCs w:val="22"/>
                <w:lang w:val="es-CL"/>
              </w:rPr>
              <w:t xml:space="preserve">Los avances registrados para esta actividad correspondían a la Actualización del Perfil Químico Nacional (2008) y Evaluaciones de las Capacidades para la Gestión Racional de las Sustancias Químicas (2009) para la obtención de información requerida para el Análisis. </w:t>
            </w:r>
            <w:r w:rsidR="00287CDB">
              <w:rPr>
                <w:rFonts w:asciiTheme="minorHAnsi" w:hAnsiTheme="minorHAnsi"/>
                <w:sz w:val="22"/>
                <w:szCs w:val="22"/>
                <w:lang w:val="es-CL"/>
              </w:rPr>
              <w:t>En esta etapa se actualizó la información más relevante.</w:t>
            </w:r>
          </w:p>
        </w:tc>
      </w:tr>
      <w:tr w:rsidR="00F54061" w:rsidRPr="00F54061" w:rsidTr="005912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3" w:type="dxa"/>
            <w:tcBorders>
              <w:top w:val="none" w:sz="0" w:space="0" w:color="auto"/>
              <w:left w:val="none" w:sz="0" w:space="0" w:color="auto"/>
              <w:bottom w:val="none" w:sz="0" w:space="0" w:color="auto"/>
            </w:tcBorders>
            <w:vAlign w:val="center"/>
          </w:tcPr>
          <w:p w:rsidR="00F54061" w:rsidRPr="00F54061" w:rsidRDefault="00F54061" w:rsidP="000C3606">
            <w:pPr>
              <w:contextualSpacing/>
              <w:jc w:val="left"/>
              <w:rPr>
                <w:rFonts w:asciiTheme="minorHAnsi" w:hAnsiTheme="minorHAnsi"/>
                <w:b w:val="0"/>
                <w:sz w:val="22"/>
                <w:szCs w:val="22"/>
                <w:lang w:val="es-CL"/>
              </w:rPr>
            </w:pPr>
            <w:r w:rsidRPr="00F54061">
              <w:rPr>
                <w:rFonts w:asciiTheme="minorHAnsi" w:hAnsiTheme="minorHAnsi"/>
                <w:sz w:val="22"/>
                <w:szCs w:val="22"/>
                <w:lang w:val="es-CL"/>
              </w:rPr>
              <w:t xml:space="preserve">Análisis jurídico y creación de un marco jurídico para la aplicación del </w:t>
            </w:r>
            <w:r>
              <w:rPr>
                <w:rFonts w:asciiTheme="minorHAnsi" w:hAnsiTheme="minorHAnsi"/>
                <w:sz w:val="22"/>
                <w:szCs w:val="22"/>
                <w:lang w:val="es-CL"/>
              </w:rPr>
              <w:t>GHS</w:t>
            </w:r>
          </w:p>
        </w:tc>
        <w:tc>
          <w:tcPr>
            <w:tcW w:w="1559" w:type="dxa"/>
            <w:tcBorders>
              <w:top w:val="none" w:sz="0" w:space="0" w:color="auto"/>
              <w:bottom w:val="none" w:sz="0" w:space="0" w:color="auto"/>
            </w:tcBorders>
            <w:vAlign w:val="center"/>
          </w:tcPr>
          <w:p w:rsidR="00F54061" w:rsidRPr="00F54061" w:rsidRDefault="00287CDB" w:rsidP="000C3606">
            <w:pPr>
              <w:autoSpaceDE w:val="0"/>
              <w:autoSpaceDN w:val="0"/>
              <w:adjustRightInd w:val="0"/>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Pr>
                <w:rFonts w:asciiTheme="minorHAnsi" w:hAnsiTheme="minorHAnsi"/>
                <w:sz w:val="22"/>
                <w:szCs w:val="22"/>
                <w:lang w:val="es-CL"/>
              </w:rPr>
              <w:t>Si</w:t>
            </w:r>
          </w:p>
        </w:tc>
        <w:tc>
          <w:tcPr>
            <w:tcW w:w="5687" w:type="dxa"/>
            <w:tcBorders>
              <w:top w:val="none" w:sz="0" w:space="0" w:color="auto"/>
              <w:bottom w:val="none" w:sz="0" w:space="0" w:color="auto"/>
              <w:right w:val="none" w:sz="0" w:space="0" w:color="auto"/>
            </w:tcBorders>
            <w:vAlign w:val="center"/>
          </w:tcPr>
          <w:p w:rsidR="00F54061" w:rsidRPr="00F54061" w:rsidRDefault="00287CDB" w:rsidP="003851AD">
            <w:pPr>
              <w:pStyle w:val="Default"/>
              <w:spacing w:line="264" w:lineRule="auto"/>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Pr>
                <w:rFonts w:asciiTheme="minorHAnsi" w:hAnsiTheme="minorHAnsi"/>
                <w:sz w:val="22"/>
                <w:szCs w:val="22"/>
                <w:lang w:val="es-CL"/>
              </w:rPr>
              <w:t>Se realizó análisis jurídico, con una propuesta preliminar de reglamento para la implementación del GHS</w:t>
            </w:r>
          </w:p>
        </w:tc>
      </w:tr>
      <w:tr w:rsidR="00F54061" w:rsidRPr="00F54061" w:rsidTr="005912F0">
        <w:tc>
          <w:tcPr>
            <w:cnfStyle w:val="001000000000" w:firstRow="0" w:lastRow="0" w:firstColumn="1" w:lastColumn="0" w:oddVBand="0" w:evenVBand="0" w:oddHBand="0" w:evenHBand="0" w:firstRowFirstColumn="0" w:firstRowLastColumn="0" w:lastRowFirstColumn="0" w:lastRowLastColumn="0"/>
            <w:tcW w:w="2893" w:type="dxa"/>
            <w:vAlign w:val="center"/>
          </w:tcPr>
          <w:p w:rsidR="00F54061" w:rsidRPr="00F54061" w:rsidRDefault="00F54061" w:rsidP="000C3606">
            <w:pPr>
              <w:contextualSpacing/>
              <w:jc w:val="left"/>
              <w:rPr>
                <w:rFonts w:asciiTheme="minorHAnsi" w:hAnsiTheme="minorHAnsi"/>
                <w:b w:val="0"/>
                <w:bCs w:val="0"/>
                <w:sz w:val="22"/>
                <w:szCs w:val="22"/>
                <w:lang w:val="es-CL"/>
              </w:rPr>
            </w:pPr>
            <w:r w:rsidRPr="00F54061">
              <w:rPr>
                <w:rFonts w:asciiTheme="minorHAnsi" w:hAnsiTheme="minorHAnsi"/>
                <w:sz w:val="22"/>
                <w:szCs w:val="22"/>
                <w:lang w:val="es-CL"/>
              </w:rPr>
              <w:t>Sensibilización de partes interesadas</w:t>
            </w:r>
          </w:p>
        </w:tc>
        <w:tc>
          <w:tcPr>
            <w:tcW w:w="1559" w:type="dxa"/>
            <w:vAlign w:val="center"/>
          </w:tcPr>
          <w:p w:rsidR="00F54061" w:rsidRPr="00F54061" w:rsidRDefault="00F54061" w:rsidP="000C3606">
            <w:pPr>
              <w:autoSpaceDE w:val="0"/>
              <w:autoSpaceDN w:val="0"/>
              <w:adjustRightInd w:val="0"/>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s-CL"/>
              </w:rPr>
            </w:pPr>
            <w:r w:rsidRPr="00F54061">
              <w:rPr>
                <w:rFonts w:asciiTheme="minorHAnsi" w:hAnsiTheme="minorHAnsi"/>
                <w:sz w:val="22"/>
                <w:szCs w:val="22"/>
                <w:lang w:val="es-CL"/>
              </w:rPr>
              <w:t>Sí</w:t>
            </w:r>
          </w:p>
        </w:tc>
        <w:tc>
          <w:tcPr>
            <w:tcW w:w="5687" w:type="dxa"/>
          </w:tcPr>
          <w:p w:rsidR="00F54061" w:rsidRPr="00F54061" w:rsidRDefault="00F54061" w:rsidP="00287CDB">
            <w:pPr>
              <w:autoSpaceDE w:val="0"/>
              <w:autoSpaceDN w:val="0"/>
              <w:adjustRightInd w:val="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s-CL"/>
              </w:rPr>
            </w:pPr>
            <w:r w:rsidRPr="00F54061">
              <w:rPr>
                <w:rFonts w:asciiTheme="minorHAnsi" w:hAnsiTheme="minorHAnsi"/>
                <w:sz w:val="22"/>
                <w:szCs w:val="22"/>
                <w:lang w:val="es-CL"/>
              </w:rPr>
              <w:t xml:space="preserve">El suministro de materiales de sensibilización sobre el GHS </w:t>
            </w:r>
            <w:r w:rsidR="00287CDB">
              <w:rPr>
                <w:rFonts w:asciiTheme="minorHAnsi" w:hAnsiTheme="minorHAnsi"/>
                <w:sz w:val="22"/>
                <w:szCs w:val="22"/>
                <w:lang w:val="es-CL"/>
              </w:rPr>
              <w:t>se realizó</w:t>
            </w:r>
            <w:r w:rsidRPr="00F54061">
              <w:rPr>
                <w:rFonts w:asciiTheme="minorHAnsi" w:hAnsiTheme="minorHAnsi"/>
                <w:sz w:val="22"/>
                <w:szCs w:val="22"/>
                <w:lang w:val="es-CL"/>
              </w:rPr>
              <w:t xml:space="preserve"> en las etapas iniciales previo al Taller Nacional de Introducción y Planificación (año 2012) principalmente al Comité Coordi</w:t>
            </w:r>
            <w:r w:rsidR="00287CDB">
              <w:rPr>
                <w:rFonts w:asciiTheme="minorHAnsi" w:hAnsiTheme="minorHAnsi"/>
                <w:sz w:val="22"/>
                <w:szCs w:val="22"/>
                <w:lang w:val="es-CL"/>
              </w:rPr>
              <w:t>nador e Instituciones Públicas</w:t>
            </w:r>
            <w:r w:rsidRPr="00F54061">
              <w:rPr>
                <w:rFonts w:asciiTheme="minorHAnsi" w:hAnsiTheme="minorHAnsi"/>
                <w:sz w:val="22"/>
                <w:szCs w:val="22"/>
                <w:lang w:val="es-CL"/>
              </w:rPr>
              <w:t xml:space="preserve">. Se debe planificar el desarrollo de actividades para </w:t>
            </w:r>
            <w:r w:rsidR="00287CDB">
              <w:rPr>
                <w:rFonts w:asciiTheme="minorHAnsi" w:hAnsiTheme="minorHAnsi"/>
                <w:sz w:val="22"/>
                <w:szCs w:val="22"/>
                <w:lang w:val="es-CL"/>
              </w:rPr>
              <w:t>la</w:t>
            </w:r>
            <w:r w:rsidRPr="00F54061">
              <w:rPr>
                <w:rFonts w:asciiTheme="minorHAnsi" w:hAnsiTheme="minorHAnsi"/>
                <w:sz w:val="22"/>
                <w:szCs w:val="22"/>
                <w:lang w:val="es-CL"/>
              </w:rPr>
              <w:t xml:space="preserve"> Sociedad Civil.</w:t>
            </w:r>
          </w:p>
        </w:tc>
      </w:tr>
      <w:tr w:rsidR="00F54061" w:rsidRPr="00F54061" w:rsidTr="005912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3" w:type="dxa"/>
            <w:tcBorders>
              <w:top w:val="none" w:sz="0" w:space="0" w:color="auto"/>
              <w:left w:val="none" w:sz="0" w:space="0" w:color="auto"/>
              <w:bottom w:val="none" w:sz="0" w:space="0" w:color="auto"/>
            </w:tcBorders>
            <w:vAlign w:val="center"/>
          </w:tcPr>
          <w:p w:rsidR="00F54061" w:rsidRPr="00F54061" w:rsidRDefault="00F54061" w:rsidP="000C3606">
            <w:pPr>
              <w:contextualSpacing/>
              <w:jc w:val="left"/>
              <w:rPr>
                <w:rFonts w:asciiTheme="minorHAnsi" w:hAnsiTheme="minorHAnsi"/>
                <w:b w:val="0"/>
                <w:bCs w:val="0"/>
                <w:sz w:val="22"/>
                <w:szCs w:val="22"/>
                <w:lang w:val="es-CL"/>
              </w:rPr>
            </w:pPr>
            <w:r w:rsidRPr="00F54061">
              <w:rPr>
                <w:rFonts w:asciiTheme="minorHAnsi" w:hAnsiTheme="minorHAnsi"/>
                <w:sz w:val="22"/>
                <w:szCs w:val="22"/>
                <w:lang w:val="es-CL"/>
              </w:rPr>
              <w:t>Formación técnica</w:t>
            </w:r>
          </w:p>
        </w:tc>
        <w:tc>
          <w:tcPr>
            <w:tcW w:w="1559" w:type="dxa"/>
            <w:tcBorders>
              <w:top w:val="none" w:sz="0" w:space="0" w:color="auto"/>
              <w:bottom w:val="none" w:sz="0" w:space="0" w:color="auto"/>
            </w:tcBorders>
            <w:vAlign w:val="center"/>
          </w:tcPr>
          <w:p w:rsidR="00F54061" w:rsidRPr="00F54061" w:rsidRDefault="00F54061" w:rsidP="000C3606">
            <w:pPr>
              <w:autoSpaceDE w:val="0"/>
              <w:autoSpaceDN w:val="0"/>
              <w:adjustRightInd w:val="0"/>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sidRPr="00F54061">
              <w:rPr>
                <w:rFonts w:asciiTheme="minorHAnsi" w:hAnsiTheme="minorHAnsi"/>
                <w:sz w:val="22"/>
                <w:szCs w:val="22"/>
                <w:lang w:val="es-CL"/>
              </w:rPr>
              <w:t>Sí</w:t>
            </w:r>
          </w:p>
        </w:tc>
        <w:tc>
          <w:tcPr>
            <w:tcW w:w="5687" w:type="dxa"/>
            <w:tcBorders>
              <w:top w:val="none" w:sz="0" w:space="0" w:color="auto"/>
              <w:bottom w:val="none" w:sz="0" w:space="0" w:color="auto"/>
              <w:right w:val="none" w:sz="0" w:space="0" w:color="auto"/>
            </w:tcBorders>
          </w:tcPr>
          <w:p w:rsidR="00F54061" w:rsidRPr="00F54061" w:rsidRDefault="00F54061" w:rsidP="00287CDB">
            <w:pPr>
              <w:autoSpaceDE w:val="0"/>
              <w:autoSpaceDN w:val="0"/>
              <w:adjustRightInd w:val="0"/>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sidRPr="00F54061">
              <w:rPr>
                <w:rFonts w:asciiTheme="minorHAnsi" w:hAnsiTheme="minorHAnsi"/>
                <w:sz w:val="22"/>
                <w:szCs w:val="22"/>
                <w:lang w:val="es-CL"/>
              </w:rPr>
              <w:t xml:space="preserve">Se han llevado a cabo Jornadas de Talleres Básico y Avanzado que entregan capacidades avanzadas de información y reconocimiento del GHS. En la </w:t>
            </w:r>
            <w:r w:rsidRPr="00E56B11">
              <w:rPr>
                <w:rFonts w:asciiTheme="minorHAnsi" w:hAnsiTheme="minorHAnsi"/>
                <w:sz w:val="22"/>
                <w:szCs w:val="22"/>
                <w:lang w:val="es-CL"/>
              </w:rPr>
              <w:t xml:space="preserve">Tabla </w:t>
            </w:r>
            <w:r w:rsidR="00E56B11" w:rsidRPr="00E56B11">
              <w:rPr>
                <w:rFonts w:asciiTheme="minorHAnsi" w:hAnsiTheme="minorHAnsi"/>
                <w:sz w:val="22"/>
                <w:szCs w:val="22"/>
                <w:lang w:val="es-CL"/>
              </w:rPr>
              <w:t>4</w:t>
            </w:r>
            <w:r w:rsidRPr="00E56B11">
              <w:rPr>
                <w:rFonts w:asciiTheme="minorHAnsi" w:hAnsiTheme="minorHAnsi"/>
                <w:sz w:val="22"/>
                <w:szCs w:val="22"/>
                <w:lang w:val="es-CL"/>
              </w:rPr>
              <w:t xml:space="preserve"> se detalla</w:t>
            </w:r>
            <w:r w:rsidRPr="00F54061">
              <w:rPr>
                <w:rFonts w:asciiTheme="minorHAnsi" w:hAnsiTheme="minorHAnsi"/>
                <w:sz w:val="22"/>
                <w:szCs w:val="22"/>
                <w:lang w:val="es-CL"/>
              </w:rPr>
              <w:t xml:space="preserve"> el número de person</w:t>
            </w:r>
            <w:r w:rsidR="00287CDB">
              <w:rPr>
                <w:rFonts w:asciiTheme="minorHAnsi" w:hAnsiTheme="minorHAnsi"/>
                <w:sz w:val="22"/>
                <w:szCs w:val="22"/>
                <w:lang w:val="es-CL"/>
              </w:rPr>
              <w:t>as participantes en cada Taller</w:t>
            </w:r>
            <w:r w:rsidRPr="00F54061">
              <w:rPr>
                <w:rFonts w:asciiTheme="minorHAnsi" w:hAnsiTheme="minorHAnsi"/>
                <w:sz w:val="22"/>
                <w:szCs w:val="22"/>
                <w:lang w:val="es-CL"/>
              </w:rPr>
              <w:t>.</w:t>
            </w:r>
          </w:p>
        </w:tc>
      </w:tr>
      <w:tr w:rsidR="00F54061" w:rsidRPr="00F54061" w:rsidTr="005912F0">
        <w:tc>
          <w:tcPr>
            <w:cnfStyle w:val="001000000000" w:firstRow="0" w:lastRow="0" w:firstColumn="1" w:lastColumn="0" w:oddVBand="0" w:evenVBand="0" w:oddHBand="0" w:evenHBand="0" w:firstRowFirstColumn="0" w:firstRowLastColumn="0" w:lastRowFirstColumn="0" w:lastRowLastColumn="0"/>
            <w:tcW w:w="2893" w:type="dxa"/>
            <w:vAlign w:val="center"/>
          </w:tcPr>
          <w:p w:rsidR="00F54061" w:rsidRPr="00F54061" w:rsidRDefault="00F54061" w:rsidP="000C3606">
            <w:pPr>
              <w:contextualSpacing/>
              <w:jc w:val="left"/>
              <w:rPr>
                <w:rFonts w:asciiTheme="minorHAnsi" w:hAnsiTheme="minorHAnsi"/>
                <w:b w:val="0"/>
                <w:sz w:val="22"/>
                <w:szCs w:val="22"/>
                <w:lang w:val="es-CL"/>
              </w:rPr>
            </w:pPr>
            <w:r w:rsidRPr="00F54061">
              <w:rPr>
                <w:rFonts w:asciiTheme="minorHAnsi" w:hAnsiTheme="minorHAnsi"/>
                <w:sz w:val="22"/>
                <w:szCs w:val="22"/>
                <w:lang w:val="es-CL"/>
              </w:rPr>
              <w:t>Planes sectoriales de implementación</w:t>
            </w:r>
          </w:p>
        </w:tc>
        <w:tc>
          <w:tcPr>
            <w:tcW w:w="1559" w:type="dxa"/>
            <w:vAlign w:val="center"/>
          </w:tcPr>
          <w:p w:rsidR="00F54061" w:rsidRPr="00F54061" w:rsidRDefault="00F54061" w:rsidP="000C3606">
            <w:pPr>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s-CL"/>
              </w:rPr>
            </w:pPr>
            <w:r w:rsidRPr="00F54061">
              <w:rPr>
                <w:rFonts w:asciiTheme="minorHAnsi" w:hAnsiTheme="minorHAnsi"/>
                <w:sz w:val="22"/>
                <w:szCs w:val="22"/>
                <w:lang w:val="es-CL"/>
              </w:rPr>
              <w:t>No</w:t>
            </w:r>
          </w:p>
        </w:tc>
        <w:tc>
          <w:tcPr>
            <w:tcW w:w="5687" w:type="dxa"/>
          </w:tcPr>
          <w:p w:rsidR="00F54061" w:rsidRPr="00F54061" w:rsidRDefault="00F54061" w:rsidP="000C3606">
            <w:pPr>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s-CL"/>
              </w:rPr>
            </w:pPr>
            <w:r w:rsidRPr="00F54061">
              <w:rPr>
                <w:rFonts w:asciiTheme="minorHAnsi" w:hAnsiTheme="minorHAnsi"/>
                <w:sz w:val="22"/>
                <w:szCs w:val="22"/>
                <w:lang w:val="es-CL"/>
              </w:rPr>
              <w:t>Se debe elaborar en base a los resultados obtenidos del Análisis de Situación y Vacíos por sector.</w:t>
            </w:r>
          </w:p>
        </w:tc>
      </w:tr>
      <w:tr w:rsidR="00F54061" w:rsidRPr="00F54061" w:rsidTr="005912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3" w:type="dxa"/>
            <w:tcBorders>
              <w:top w:val="none" w:sz="0" w:space="0" w:color="auto"/>
              <w:left w:val="none" w:sz="0" w:space="0" w:color="auto"/>
              <w:bottom w:val="none" w:sz="0" w:space="0" w:color="auto"/>
            </w:tcBorders>
            <w:vAlign w:val="center"/>
          </w:tcPr>
          <w:p w:rsidR="00F54061" w:rsidRPr="00F54061" w:rsidRDefault="00F54061" w:rsidP="000C3606">
            <w:pPr>
              <w:contextualSpacing/>
              <w:jc w:val="left"/>
              <w:rPr>
                <w:rFonts w:asciiTheme="minorHAnsi" w:hAnsiTheme="minorHAnsi"/>
                <w:b w:val="0"/>
                <w:sz w:val="22"/>
                <w:szCs w:val="22"/>
                <w:lang w:val="es-CL"/>
              </w:rPr>
            </w:pPr>
            <w:r w:rsidRPr="00F54061">
              <w:rPr>
                <w:rFonts w:asciiTheme="minorHAnsi" w:hAnsiTheme="minorHAnsi"/>
                <w:sz w:val="22"/>
                <w:szCs w:val="22"/>
                <w:lang w:val="es-CL"/>
              </w:rPr>
              <w:t>Preparación de Estrategia Nacional de Implementación de GHS</w:t>
            </w:r>
          </w:p>
        </w:tc>
        <w:tc>
          <w:tcPr>
            <w:tcW w:w="1559" w:type="dxa"/>
            <w:tcBorders>
              <w:top w:val="none" w:sz="0" w:space="0" w:color="auto"/>
              <w:bottom w:val="none" w:sz="0" w:space="0" w:color="auto"/>
            </w:tcBorders>
            <w:vAlign w:val="center"/>
          </w:tcPr>
          <w:p w:rsidR="00F54061" w:rsidRPr="00F54061" w:rsidRDefault="00287CDB" w:rsidP="000C3606">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Pr>
                <w:rFonts w:asciiTheme="minorHAnsi" w:hAnsiTheme="minorHAnsi"/>
                <w:sz w:val="22"/>
                <w:szCs w:val="22"/>
                <w:lang w:val="es-CL"/>
              </w:rPr>
              <w:t>Si</w:t>
            </w:r>
          </w:p>
        </w:tc>
        <w:tc>
          <w:tcPr>
            <w:tcW w:w="5687" w:type="dxa"/>
            <w:tcBorders>
              <w:top w:val="none" w:sz="0" w:space="0" w:color="auto"/>
              <w:bottom w:val="none" w:sz="0" w:space="0" w:color="auto"/>
              <w:right w:val="none" w:sz="0" w:space="0" w:color="auto"/>
            </w:tcBorders>
          </w:tcPr>
          <w:p w:rsidR="00F54061" w:rsidRPr="00F54061" w:rsidRDefault="00287CDB" w:rsidP="000A7755">
            <w:pPr>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Pr>
                <w:rFonts w:asciiTheme="minorHAnsi" w:hAnsiTheme="minorHAnsi"/>
                <w:sz w:val="22"/>
                <w:szCs w:val="22"/>
                <w:lang w:val="es-CL"/>
              </w:rPr>
              <w:t xml:space="preserve">Se </w:t>
            </w:r>
            <w:r w:rsidR="000A7755">
              <w:rPr>
                <w:rFonts w:asciiTheme="minorHAnsi" w:hAnsiTheme="minorHAnsi"/>
                <w:sz w:val="22"/>
                <w:szCs w:val="22"/>
                <w:lang w:val="es-CL"/>
              </w:rPr>
              <w:t xml:space="preserve">llevó a cabo el proceso de elaboración de la estrategia con sus objetivos, actividades, </w:t>
            </w:r>
            <w:r>
              <w:rPr>
                <w:rFonts w:asciiTheme="minorHAnsi" w:hAnsiTheme="minorHAnsi"/>
                <w:sz w:val="22"/>
                <w:szCs w:val="22"/>
                <w:lang w:val="es-CL"/>
              </w:rPr>
              <w:t>responsables</w:t>
            </w:r>
            <w:r w:rsidR="000A7755">
              <w:rPr>
                <w:rFonts w:asciiTheme="minorHAnsi" w:hAnsiTheme="minorHAnsi"/>
                <w:sz w:val="22"/>
                <w:szCs w:val="22"/>
                <w:lang w:val="es-CL"/>
              </w:rPr>
              <w:t xml:space="preserve"> y plazos</w:t>
            </w:r>
          </w:p>
        </w:tc>
      </w:tr>
      <w:tr w:rsidR="00F54061" w:rsidRPr="00F54061" w:rsidTr="005912F0">
        <w:tc>
          <w:tcPr>
            <w:cnfStyle w:val="001000000000" w:firstRow="0" w:lastRow="0" w:firstColumn="1" w:lastColumn="0" w:oddVBand="0" w:evenVBand="0" w:oddHBand="0" w:evenHBand="0" w:firstRowFirstColumn="0" w:firstRowLastColumn="0" w:lastRowFirstColumn="0" w:lastRowLastColumn="0"/>
            <w:tcW w:w="2893" w:type="dxa"/>
            <w:vAlign w:val="center"/>
          </w:tcPr>
          <w:p w:rsidR="00F54061" w:rsidRPr="00F54061" w:rsidRDefault="00F54061" w:rsidP="000C3606">
            <w:pPr>
              <w:contextualSpacing/>
              <w:jc w:val="left"/>
              <w:rPr>
                <w:rFonts w:asciiTheme="minorHAnsi" w:hAnsiTheme="minorHAnsi"/>
                <w:b w:val="0"/>
                <w:sz w:val="22"/>
                <w:szCs w:val="22"/>
                <w:lang w:val="es-CL"/>
              </w:rPr>
            </w:pPr>
            <w:r w:rsidRPr="00F54061">
              <w:rPr>
                <w:rFonts w:asciiTheme="minorHAnsi" w:hAnsiTheme="minorHAnsi"/>
                <w:sz w:val="22"/>
                <w:szCs w:val="22"/>
                <w:lang w:val="es-CL"/>
              </w:rPr>
              <w:t>Desarrollo/Modificación de regulaciones nacionales para implementación de GHS</w:t>
            </w:r>
          </w:p>
        </w:tc>
        <w:tc>
          <w:tcPr>
            <w:tcW w:w="1559" w:type="dxa"/>
            <w:vAlign w:val="center"/>
          </w:tcPr>
          <w:p w:rsidR="00F54061" w:rsidRPr="00F54061" w:rsidRDefault="000A7755" w:rsidP="000C3606">
            <w:pPr>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s-CL"/>
              </w:rPr>
            </w:pPr>
            <w:r>
              <w:rPr>
                <w:rFonts w:asciiTheme="minorHAnsi" w:hAnsiTheme="minorHAnsi"/>
                <w:sz w:val="22"/>
                <w:szCs w:val="22"/>
                <w:lang w:val="es-CL"/>
              </w:rPr>
              <w:t>No</w:t>
            </w:r>
          </w:p>
        </w:tc>
        <w:tc>
          <w:tcPr>
            <w:tcW w:w="5687" w:type="dxa"/>
            <w:vAlign w:val="center"/>
          </w:tcPr>
          <w:p w:rsidR="00F54061" w:rsidRPr="00F54061" w:rsidRDefault="000A7755" w:rsidP="000C3606">
            <w:pPr>
              <w:contextualSpacing/>
              <w:jc w:val="lef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s-CL"/>
              </w:rPr>
            </w:pPr>
            <w:r>
              <w:rPr>
                <w:rFonts w:asciiTheme="minorHAnsi" w:hAnsiTheme="minorHAnsi"/>
                <w:sz w:val="22"/>
                <w:szCs w:val="22"/>
                <w:lang w:val="es-CL"/>
              </w:rPr>
              <w:t>Hasta la fecha se ha realizado solo el análisis de las regulaciones que debieran ser modificadas</w:t>
            </w:r>
          </w:p>
        </w:tc>
      </w:tr>
      <w:tr w:rsidR="00F54061" w:rsidRPr="00F54061" w:rsidTr="005912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3" w:type="dxa"/>
            <w:tcBorders>
              <w:top w:val="none" w:sz="0" w:space="0" w:color="auto"/>
              <w:left w:val="none" w:sz="0" w:space="0" w:color="auto"/>
              <w:bottom w:val="none" w:sz="0" w:space="0" w:color="auto"/>
            </w:tcBorders>
            <w:vAlign w:val="center"/>
          </w:tcPr>
          <w:p w:rsidR="00F54061" w:rsidRPr="00F54061" w:rsidRDefault="00F54061" w:rsidP="000C3606">
            <w:pPr>
              <w:contextualSpacing/>
              <w:jc w:val="left"/>
              <w:rPr>
                <w:rFonts w:asciiTheme="minorHAnsi" w:hAnsiTheme="minorHAnsi"/>
                <w:b w:val="0"/>
                <w:sz w:val="22"/>
                <w:szCs w:val="22"/>
                <w:lang w:val="es-CL"/>
              </w:rPr>
            </w:pPr>
            <w:r w:rsidRPr="00F54061">
              <w:rPr>
                <w:rFonts w:asciiTheme="minorHAnsi" w:hAnsiTheme="minorHAnsi"/>
                <w:sz w:val="22"/>
                <w:szCs w:val="22"/>
                <w:lang w:val="es-CL"/>
              </w:rPr>
              <w:t>Divulgación y comunicación regional e internacional</w:t>
            </w:r>
          </w:p>
        </w:tc>
        <w:tc>
          <w:tcPr>
            <w:tcW w:w="1559" w:type="dxa"/>
            <w:tcBorders>
              <w:top w:val="none" w:sz="0" w:space="0" w:color="auto"/>
              <w:bottom w:val="none" w:sz="0" w:space="0" w:color="auto"/>
            </w:tcBorders>
            <w:vAlign w:val="center"/>
          </w:tcPr>
          <w:p w:rsidR="00F54061" w:rsidRPr="00F54061" w:rsidRDefault="00F54061" w:rsidP="000C3606">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val="es-CL"/>
              </w:rPr>
            </w:pPr>
            <w:r w:rsidRPr="00F54061">
              <w:rPr>
                <w:rFonts w:asciiTheme="minorHAnsi" w:hAnsiTheme="minorHAnsi"/>
                <w:sz w:val="22"/>
                <w:szCs w:val="22"/>
                <w:lang w:val="es-CL"/>
              </w:rPr>
              <w:t>Sí</w:t>
            </w:r>
          </w:p>
        </w:tc>
        <w:tc>
          <w:tcPr>
            <w:tcW w:w="5687" w:type="dxa"/>
            <w:tcBorders>
              <w:top w:val="none" w:sz="0" w:space="0" w:color="auto"/>
              <w:bottom w:val="none" w:sz="0" w:space="0" w:color="auto"/>
              <w:right w:val="none" w:sz="0" w:space="0" w:color="auto"/>
            </w:tcBorders>
          </w:tcPr>
          <w:p w:rsidR="00F54061" w:rsidRPr="000A7755" w:rsidRDefault="00F54061" w:rsidP="000A7755">
            <w:pPr>
              <w:contextualSpacing/>
              <w:cnfStyle w:val="000000100000" w:firstRow="0" w:lastRow="0" w:firstColumn="0" w:lastColumn="0" w:oddVBand="0" w:evenVBand="0" w:oddHBand="1" w:evenHBand="0" w:firstRowFirstColumn="0" w:firstRowLastColumn="0" w:lastRowFirstColumn="0" w:lastRowLastColumn="0"/>
            </w:pPr>
            <w:r w:rsidRPr="00F54061">
              <w:rPr>
                <w:rFonts w:asciiTheme="minorHAnsi" w:hAnsiTheme="minorHAnsi"/>
                <w:sz w:val="22"/>
                <w:szCs w:val="22"/>
                <w:lang w:val="es-CL"/>
              </w:rPr>
              <w:t xml:space="preserve">Los avances de la implementación del GHS han sido publicados en la página Web </w:t>
            </w:r>
            <w:r w:rsidR="000A7755" w:rsidRPr="000A7755">
              <w:rPr>
                <w:sz w:val="24"/>
                <w:szCs w:val="24"/>
              </w:rPr>
              <w:t>www.GHS-Chile.cl</w:t>
            </w:r>
            <w:r w:rsidRPr="00F54061">
              <w:rPr>
                <w:rFonts w:asciiTheme="minorHAnsi" w:hAnsiTheme="minorHAnsi"/>
                <w:sz w:val="22"/>
                <w:szCs w:val="22"/>
                <w:lang w:val="es-CL"/>
              </w:rPr>
              <w:t xml:space="preserve">, compartidos a través de los centros de información de UNITAR, OCDE y APEC e informados a nivel regional a MERCOSUR </w:t>
            </w:r>
            <w:r w:rsidRPr="00B96B52">
              <w:rPr>
                <w:rFonts w:asciiTheme="minorHAnsi" w:hAnsiTheme="minorHAnsi"/>
                <w:sz w:val="22"/>
                <w:szCs w:val="22"/>
                <w:lang w:val="es-CL"/>
              </w:rPr>
              <w:t>periódi</w:t>
            </w:r>
            <w:r w:rsidR="001162E0" w:rsidRPr="00B96B52">
              <w:rPr>
                <w:rFonts w:asciiTheme="minorHAnsi" w:hAnsiTheme="minorHAnsi"/>
                <w:sz w:val="22"/>
                <w:szCs w:val="22"/>
                <w:lang w:val="es-CL"/>
              </w:rPr>
              <w:t xml:space="preserve">camente. Actualmente, existe </w:t>
            </w:r>
            <w:r w:rsidRPr="00B96B52">
              <w:rPr>
                <w:rFonts w:asciiTheme="minorHAnsi" w:hAnsiTheme="minorHAnsi"/>
                <w:sz w:val="22"/>
                <w:szCs w:val="22"/>
                <w:lang w:val="es-CL"/>
              </w:rPr>
              <w:t>difusión</w:t>
            </w:r>
            <w:r w:rsidR="001162E0">
              <w:rPr>
                <w:rFonts w:asciiTheme="minorHAnsi" w:hAnsiTheme="minorHAnsi"/>
                <w:sz w:val="22"/>
                <w:szCs w:val="22"/>
                <w:lang w:val="es-CL"/>
              </w:rPr>
              <w:t xml:space="preserve"> y comunicación </w:t>
            </w:r>
            <w:r w:rsidRPr="00F54061">
              <w:rPr>
                <w:rFonts w:asciiTheme="minorHAnsi" w:hAnsiTheme="minorHAnsi"/>
                <w:sz w:val="22"/>
                <w:szCs w:val="22"/>
                <w:lang w:val="es-CL"/>
              </w:rPr>
              <w:t>mediante estas instancias de cooperación.</w:t>
            </w:r>
          </w:p>
        </w:tc>
      </w:tr>
    </w:tbl>
    <w:p w:rsidR="006D0FB7" w:rsidRDefault="009D7F75" w:rsidP="00872364">
      <w:pPr>
        <w:spacing w:before="180"/>
        <w:jc w:val="both"/>
        <w:rPr>
          <w:sz w:val="22"/>
          <w:szCs w:val="22"/>
          <w:lang w:val="es-CL"/>
        </w:rPr>
      </w:pPr>
      <w:r w:rsidRPr="009D7F75">
        <w:rPr>
          <w:sz w:val="22"/>
          <w:szCs w:val="22"/>
          <w:lang w:val="es-CL"/>
        </w:rPr>
        <w:t xml:space="preserve">Las actividades realizadas en Chile a la fecha han estado enfocadas principalmente a la formación y capacitación de los actores involucrados sobre el GHS, sin embargo, han existido algunas dificultades para abarcar al sector de la Sociedad Civil debido al bajo interés manifestado por las organizaciones representantes a participar en los talleres Básico y Avanzado, no obstante esto, se ha logrado avanzar en la masificación de información del GHS a nivel Industria e Instituciones Públicas, encontrándose pendiente sólo el Curso Avanzado a Trabajadores e Industria. </w:t>
      </w:r>
    </w:p>
    <w:p w:rsidR="001A1D21" w:rsidRPr="006E6F05" w:rsidRDefault="001A1D21" w:rsidP="001A1D21">
      <w:pPr>
        <w:spacing w:after="0" w:line="240" w:lineRule="auto"/>
        <w:jc w:val="center"/>
        <w:rPr>
          <w:b/>
          <w:sz w:val="22"/>
          <w:szCs w:val="22"/>
          <w:lang w:val="es-CL"/>
        </w:rPr>
      </w:pPr>
      <w:r>
        <w:rPr>
          <w:b/>
          <w:sz w:val="22"/>
          <w:szCs w:val="22"/>
          <w:lang w:val="es-CL"/>
        </w:rPr>
        <w:t>Tabla 7.</w:t>
      </w:r>
      <w:r w:rsidRPr="006E6F05">
        <w:rPr>
          <w:b/>
          <w:sz w:val="22"/>
          <w:szCs w:val="22"/>
          <w:lang w:val="es-CL"/>
        </w:rPr>
        <w:t xml:space="preserve"> Estado del uso de fuentes de información y material de apoyo para implementación de GHS</w:t>
      </w:r>
    </w:p>
    <w:tbl>
      <w:tblPr>
        <w:tblStyle w:val="Tabladelista3-nfasis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3"/>
        <w:gridCol w:w="1663"/>
        <w:gridCol w:w="5837"/>
      </w:tblGrid>
      <w:tr w:rsidR="001A1D21" w:rsidRPr="006E6F05" w:rsidTr="001A1D2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217" w:type="pct"/>
            <w:tcBorders>
              <w:bottom w:val="none" w:sz="0" w:space="0" w:color="auto"/>
              <w:right w:val="none" w:sz="0" w:space="0" w:color="auto"/>
            </w:tcBorders>
            <w:vAlign w:val="center"/>
          </w:tcPr>
          <w:p w:rsidR="001A1D21" w:rsidRPr="006E6F05" w:rsidRDefault="001A1D21" w:rsidP="001A1D21">
            <w:pPr>
              <w:spacing w:after="0"/>
              <w:contextualSpacing/>
              <w:jc w:val="center"/>
              <w:rPr>
                <w:b w:val="0"/>
                <w:sz w:val="22"/>
                <w:szCs w:val="22"/>
                <w:lang w:val="es-CL"/>
              </w:rPr>
            </w:pPr>
            <w:r w:rsidRPr="006E6F05">
              <w:rPr>
                <w:sz w:val="22"/>
                <w:szCs w:val="22"/>
                <w:lang w:val="es-CL"/>
              </w:rPr>
              <w:t>Recurso</w:t>
            </w:r>
          </w:p>
        </w:tc>
        <w:tc>
          <w:tcPr>
            <w:tcW w:w="839" w:type="pct"/>
            <w:vAlign w:val="center"/>
          </w:tcPr>
          <w:p w:rsidR="001A1D21" w:rsidRPr="006E6F05" w:rsidRDefault="001A1D21" w:rsidP="001A1D21">
            <w:pPr>
              <w:spacing w:after="0"/>
              <w:contextualSpacing/>
              <w:jc w:val="center"/>
              <w:cnfStyle w:val="100000000000" w:firstRow="1" w:lastRow="0" w:firstColumn="0" w:lastColumn="0" w:oddVBand="0" w:evenVBand="0" w:oddHBand="0" w:evenHBand="0" w:firstRowFirstColumn="0" w:firstRowLastColumn="0" w:lastRowFirstColumn="0" w:lastRowLastColumn="0"/>
              <w:rPr>
                <w:b w:val="0"/>
                <w:sz w:val="22"/>
                <w:szCs w:val="22"/>
                <w:lang w:val="es-CL"/>
              </w:rPr>
            </w:pPr>
            <w:r w:rsidRPr="006E6F05">
              <w:rPr>
                <w:sz w:val="22"/>
                <w:szCs w:val="22"/>
                <w:lang w:val="es-CL"/>
              </w:rPr>
              <w:t>Utilizado en Chile (S</w:t>
            </w:r>
            <w:r>
              <w:rPr>
                <w:sz w:val="22"/>
                <w:szCs w:val="22"/>
                <w:lang w:val="es-CL"/>
              </w:rPr>
              <w:t>í</w:t>
            </w:r>
            <w:r w:rsidRPr="006E6F05">
              <w:rPr>
                <w:sz w:val="22"/>
                <w:szCs w:val="22"/>
                <w:lang w:val="es-CL"/>
              </w:rPr>
              <w:t>/No)</w:t>
            </w:r>
          </w:p>
        </w:tc>
        <w:tc>
          <w:tcPr>
            <w:tcW w:w="2944" w:type="pct"/>
            <w:vAlign w:val="center"/>
          </w:tcPr>
          <w:p w:rsidR="001A1D21" w:rsidRPr="006E6F05" w:rsidRDefault="001A1D21" w:rsidP="001A1D21">
            <w:pPr>
              <w:spacing w:after="0"/>
              <w:contextualSpacing/>
              <w:jc w:val="center"/>
              <w:cnfStyle w:val="100000000000" w:firstRow="1" w:lastRow="0" w:firstColumn="0" w:lastColumn="0" w:oddVBand="0" w:evenVBand="0" w:oddHBand="0" w:evenHBand="0" w:firstRowFirstColumn="0" w:firstRowLastColumn="0" w:lastRowFirstColumn="0" w:lastRowLastColumn="0"/>
              <w:rPr>
                <w:b w:val="0"/>
                <w:sz w:val="22"/>
                <w:szCs w:val="22"/>
                <w:lang w:val="es-CL"/>
              </w:rPr>
            </w:pPr>
            <w:r w:rsidRPr="006E6F05">
              <w:rPr>
                <w:sz w:val="22"/>
                <w:szCs w:val="22"/>
                <w:lang w:val="es-CL"/>
              </w:rPr>
              <w:t>Comentario</w:t>
            </w:r>
          </w:p>
        </w:tc>
      </w:tr>
      <w:tr w:rsidR="001A1D21" w:rsidRPr="006E6F05" w:rsidTr="001A1D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7" w:type="pct"/>
            <w:tcBorders>
              <w:top w:val="none" w:sz="0" w:space="0" w:color="auto"/>
              <w:bottom w:val="none" w:sz="0" w:space="0" w:color="auto"/>
              <w:right w:val="none" w:sz="0" w:space="0" w:color="auto"/>
            </w:tcBorders>
            <w:vAlign w:val="center"/>
          </w:tcPr>
          <w:p w:rsidR="001A1D21" w:rsidRPr="006E6F05" w:rsidRDefault="001A1D21" w:rsidP="001A1D21">
            <w:pPr>
              <w:spacing w:after="0"/>
              <w:contextualSpacing/>
              <w:rPr>
                <w:b w:val="0"/>
                <w:sz w:val="22"/>
                <w:szCs w:val="22"/>
                <w:lang w:val="es-CL"/>
              </w:rPr>
            </w:pPr>
            <w:r w:rsidRPr="006E6F05">
              <w:rPr>
                <w:sz w:val="22"/>
                <w:szCs w:val="22"/>
                <w:lang w:val="es-CL"/>
              </w:rPr>
              <w:t>Guía de Elaboración de Estrategia Nacional</w:t>
            </w:r>
          </w:p>
        </w:tc>
        <w:tc>
          <w:tcPr>
            <w:tcW w:w="839" w:type="pct"/>
            <w:tcBorders>
              <w:top w:val="none" w:sz="0" w:space="0" w:color="auto"/>
              <w:bottom w:val="none" w:sz="0" w:space="0" w:color="auto"/>
            </w:tcBorders>
            <w:vAlign w:val="center"/>
          </w:tcPr>
          <w:p w:rsidR="001A1D21" w:rsidRPr="006E6F05" w:rsidRDefault="001A1D21" w:rsidP="001A1D21">
            <w:pPr>
              <w:spacing w:after="0"/>
              <w:contextualSpacing/>
              <w:jc w:val="center"/>
              <w:cnfStyle w:val="000000100000" w:firstRow="0" w:lastRow="0" w:firstColumn="0" w:lastColumn="0" w:oddVBand="0" w:evenVBand="0" w:oddHBand="1" w:evenHBand="0" w:firstRowFirstColumn="0" w:firstRowLastColumn="0" w:lastRowFirstColumn="0" w:lastRowLastColumn="0"/>
              <w:rPr>
                <w:sz w:val="22"/>
                <w:szCs w:val="22"/>
                <w:lang w:val="es-CL"/>
              </w:rPr>
            </w:pPr>
            <w:r w:rsidRPr="006E6F05">
              <w:rPr>
                <w:sz w:val="22"/>
                <w:szCs w:val="22"/>
                <w:lang w:val="es-CL"/>
              </w:rPr>
              <w:t>Sí</w:t>
            </w:r>
          </w:p>
        </w:tc>
        <w:tc>
          <w:tcPr>
            <w:tcW w:w="2944" w:type="pct"/>
            <w:tcBorders>
              <w:top w:val="none" w:sz="0" w:space="0" w:color="auto"/>
              <w:bottom w:val="none" w:sz="0" w:space="0" w:color="auto"/>
            </w:tcBorders>
            <w:vAlign w:val="center"/>
          </w:tcPr>
          <w:p w:rsidR="001A1D21" w:rsidRPr="006E6F05" w:rsidRDefault="005969FF" w:rsidP="005969FF">
            <w:pPr>
              <w:spacing w:after="0"/>
              <w:contextualSpacing/>
              <w:jc w:val="both"/>
              <w:cnfStyle w:val="000000100000" w:firstRow="0" w:lastRow="0" w:firstColumn="0" w:lastColumn="0" w:oddVBand="0" w:evenVBand="0" w:oddHBand="1" w:evenHBand="0" w:firstRowFirstColumn="0" w:firstRowLastColumn="0" w:lastRowFirstColumn="0" w:lastRowLastColumn="0"/>
              <w:rPr>
                <w:sz w:val="22"/>
                <w:szCs w:val="22"/>
                <w:lang w:val="es-CL"/>
              </w:rPr>
            </w:pPr>
            <w:r>
              <w:rPr>
                <w:sz w:val="22"/>
                <w:szCs w:val="22"/>
                <w:lang w:val="es-CL"/>
              </w:rPr>
              <w:t>Se</w:t>
            </w:r>
            <w:r w:rsidR="001A1D21" w:rsidRPr="006E6F05">
              <w:rPr>
                <w:sz w:val="22"/>
                <w:szCs w:val="22"/>
                <w:lang w:val="es-CL"/>
              </w:rPr>
              <w:t xml:space="preserve"> utiliz</w:t>
            </w:r>
            <w:r>
              <w:rPr>
                <w:sz w:val="22"/>
                <w:szCs w:val="22"/>
                <w:lang w:val="es-CL"/>
              </w:rPr>
              <w:t>ó</w:t>
            </w:r>
            <w:r w:rsidR="001A1D21" w:rsidRPr="006E6F05">
              <w:rPr>
                <w:sz w:val="22"/>
                <w:szCs w:val="22"/>
                <w:lang w:val="es-CL"/>
              </w:rPr>
              <w:t xml:space="preserve"> como base la información proporcionada por esta Guía</w:t>
            </w:r>
            <w:r w:rsidR="001A1D21">
              <w:rPr>
                <w:sz w:val="22"/>
                <w:szCs w:val="22"/>
                <w:lang w:val="es-CL"/>
              </w:rPr>
              <w:t>.</w:t>
            </w:r>
          </w:p>
        </w:tc>
      </w:tr>
      <w:tr w:rsidR="001A1D21" w:rsidRPr="006E6F05" w:rsidTr="001A1D21">
        <w:tc>
          <w:tcPr>
            <w:cnfStyle w:val="001000000000" w:firstRow="0" w:lastRow="0" w:firstColumn="1" w:lastColumn="0" w:oddVBand="0" w:evenVBand="0" w:oddHBand="0" w:evenHBand="0" w:firstRowFirstColumn="0" w:firstRowLastColumn="0" w:lastRowFirstColumn="0" w:lastRowLastColumn="0"/>
            <w:tcW w:w="1217" w:type="pct"/>
            <w:tcBorders>
              <w:right w:val="none" w:sz="0" w:space="0" w:color="auto"/>
            </w:tcBorders>
            <w:vAlign w:val="center"/>
          </w:tcPr>
          <w:p w:rsidR="001A1D21" w:rsidRPr="006E6F05" w:rsidRDefault="001A1D21" w:rsidP="001A1D21">
            <w:pPr>
              <w:spacing w:after="0"/>
              <w:contextualSpacing/>
              <w:rPr>
                <w:b w:val="0"/>
                <w:sz w:val="22"/>
                <w:szCs w:val="22"/>
                <w:lang w:val="es-CL"/>
              </w:rPr>
            </w:pPr>
            <w:r w:rsidRPr="006E6F05">
              <w:rPr>
                <w:sz w:val="22"/>
                <w:szCs w:val="22"/>
                <w:lang w:val="es-CL"/>
              </w:rPr>
              <w:t>Comprendiendo el GHS- Guía de apoyo al Libro púrpura del GHS</w:t>
            </w:r>
          </w:p>
        </w:tc>
        <w:tc>
          <w:tcPr>
            <w:tcW w:w="839" w:type="pct"/>
            <w:vAlign w:val="center"/>
          </w:tcPr>
          <w:p w:rsidR="001A1D21" w:rsidRPr="006E6F05" w:rsidRDefault="001A1D21" w:rsidP="001A1D21">
            <w:pPr>
              <w:spacing w:after="0"/>
              <w:contextualSpacing/>
              <w:jc w:val="center"/>
              <w:cnfStyle w:val="000000000000" w:firstRow="0" w:lastRow="0" w:firstColumn="0" w:lastColumn="0" w:oddVBand="0" w:evenVBand="0" w:oddHBand="0" w:evenHBand="0" w:firstRowFirstColumn="0" w:firstRowLastColumn="0" w:lastRowFirstColumn="0" w:lastRowLastColumn="0"/>
              <w:rPr>
                <w:sz w:val="22"/>
                <w:szCs w:val="22"/>
                <w:lang w:val="es-CL"/>
              </w:rPr>
            </w:pPr>
            <w:r w:rsidRPr="006E6F05">
              <w:rPr>
                <w:sz w:val="22"/>
                <w:szCs w:val="22"/>
                <w:lang w:val="es-CL"/>
              </w:rPr>
              <w:t>Sí</w:t>
            </w:r>
          </w:p>
        </w:tc>
        <w:tc>
          <w:tcPr>
            <w:tcW w:w="2944" w:type="pct"/>
            <w:vAlign w:val="center"/>
          </w:tcPr>
          <w:p w:rsidR="001A1D21" w:rsidRPr="006E6F05" w:rsidRDefault="001A1D21" w:rsidP="005969FF">
            <w:pPr>
              <w:spacing w:after="0"/>
              <w:contextualSpacing/>
              <w:jc w:val="both"/>
              <w:cnfStyle w:val="000000000000" w:firstRow="0" w:lastRow="0" w:firstColumn="0" w:lastColumn="0" w:oddVBand="0" w:evenVBand="0" w:oddHBand="0" w:evenHBand="0" w:firstRowFirstColumn="0" w:firstRowLastColumn="0" w:lastRowFirstColumn="0" w:lastRowLastColumn="0"/>
              <w:rPr>
                <w:sz w:val="22"/>
                <w:szCs w:val="22"/>
                <w:lang w:val="es-CL"/>
              </w:rPr>
            </w:pPr>
            <w:r>
              <w:rPr>
                <w:sz w:val="22"/>
                <w:szCs w:val="22"/>
                <w:lang w:val="es-CL"/>
              </w:rPr>
              <w:t>Dado que esta guía entrega ayuda para simplificar el entendimiento del sistema GHS y de cómo aplicarlo, su uso estuvo centralizado durante la primera parte anteriores al año 2011 por las mesas de trabajo con</w:t>
            </w:r>
            <w:r w:rsidR="003908CC">
              <w:rPr>
                <w:sz w:val="22"/>
                <w:szCs w:val="22"/>
                <w:lang w:val="es-CL"/>
              </w:rPr>
              <w:t>formadas para estudio el Libro P</w:t>
            </w:r>
            <w:r>
              <w:rPr>
                <w:sz w:val="22"/>
                <w:szCs w:val="22"/>
                <w:lang w:val="es-CL"/>
              </w:rPr>
              <w:t xml:space="preserve">úrpura y los antecedentes del sistema. </w:t>
            </w:r>
          </w:p>
        </w:tc>
      </w:tr>
      <w:tr w:rsidR="001A1D21" w:rsidRPr="006E6F05" w:rsidTr="001A1D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7" w:type="pct"/>
            <w:tcBorders>
              <w:top w:val="none" w:sz="0" w:space="0" w:color="auto"/>
              <w:bottom w:val="none" w:sz="0" w:space="0" w:color="auto"/>
              <w:right w:val="none" w:sz="0" w:space="0" w:color="auto"/>
            </w:tcBorders>
            <w:vAlign w:val="center"/>
          </w:tcPr>
          <w:p w:rsidR="001A1D21" w:rsidRPr="006E6F05" w:rsidRDefault="001A1D21" w:rsidP="001A1D21">
            <w:pPr>
              <w:spacing w:after="0"/>
              <w:contextualSpacing/>
              <w:rPr>
                <w:b w:val="0"/>
                <w:sz w:val="22"/>
                <w:szCs w:val="22"/>
                <w:lang w:val="es-CL"/>
              </w:rPr>
            </w:pPr>
            <w:r w:rsidRPr="006E6F05">
              <w:rPr>
                <w:sz w:val="22"/>
                <w:szCs w:val="22"/>
                <w:lang w:val="es-CL"/>
              </w:rPr>
              <w:t>Paquete de capacitación de GHS</w:t>
            </w:r>
          </w:p>
        </w:tc>
        <w:tc>
          <w:tcPr>
            <w:tcW w:w="839" w:type="pct"/>
            <w:tcBorders>
              <w:top w:val="none" w:sz="0" w:space="0" w:color="auto"/>
              <w:bottom w:val="none" w:sz="0" w:space="0" w:color="auto"/>
            </w:tcBorders>
            <w:vAlign w:val="center"/>
          </w:tcPr>
          <w:p w:rsidR="001A1D21" w:rsidRPr="006E6F05" w:rsidRDefault="001A1D21" w:rsidP="001A1D21">
            <w:pPr>
              <w:spacing w:after="0"/>
              <w:contextualSpacing/>
              <w:jc w:val="center"/>
              <w:cnfStyle w:val="000000100000" w:firstRow="0" w:lastRow="0" w:firstColumn="0" w:lastColumn="0" w:oddVBand="0" w:evenVBand="0" w:oddHBand="1" w:evenHBand="0" w:firstRowFirstColumn="0" w:firstRowLastColumn="0" w:lastRowFirstColumn="0" w:lastRowLastColumn="0"/>
              <w:rPr>
                <w:sz w:val="22"/>
                <w:szCs w:val="22"/>
                <w:lang w:val="es-CL"/>
              </w:rPr>
            </w:pPr>
            <w:r w:rsidRPr="006E6F05">
              <w:rPr>
                <w:sz w:val="22"/>
                <w:szCs w:val="22"/>
                <w:lang w:val="es-CL"/>
              </w:rPr>
              <w:t>Sí</w:t>
            </w:r>
          </w:p>
        </w:tc>
        <w:tc>
          <w:tcPr>
            <w:tcW w:w="2944" w:type="pct"/>
            <w:tcBorders>
              <w:top w:val="none" w:sz="0" w:space="0" w:color="auto"/>
              <w:bottom w:val="none" w:sz="0" w:space="0" w:color="auto"/>
            </w:tcBorders>
            <w:vAlign w:val="center"/>
          </w:tcPr>
          <w:p w:rsidR="001A1D21" w:rsidRPr="006E6F05" w:rsidRDefault="001A1D21" w:rsidP="004E225D">
            <w:pPr>
              <w:spacing w:after="0"/>
              <w:contextualSpacing/>
              <w:jc w:val="both"/>
              <w:cnfStyle w:val="000000100000" w:firstRow="0" w:lastRow="0" w:firstColumn="0" w:lastColumn="0" w:oddVBand="0" w:evenVBand="0" w:oddHBand="1" w:evenHBand="0" w:firstRowFirstColumn="0" w:firstRowLastColumn="0" w:lastRowFirstColumn="0" w:lastRowLastColumn="0"/>
              <w:rPr>
                <w:sz w:val="22"/>
                <w:szCs w:val="22"/>
                <w:lang w:val="es-CL"/>
              </w:rPr>
            </w:pPr>
            <w:r w:rsidRPr="006E6F05">
              <w:rPr>
                <w:sz w:val="22"/>
                <w:szCs w:val="22"/>
                <w:lang w:val="es-CL"/>
              </w:rPr>
              <w:t>Se adaptaron los cursos de formación sobre el GHS a las necesidades del país y se llevaron a cabo los Talleres Básico y Avanzado a los sectores de Industria e Instituciones Públicas</w:t>
            </w:r>
            <w:r>
              <w:rPr>
                <w:sz w:val="22"/>
                <w:szCs w:val="22"/>
                <w:lang w:val="es-CL"/>
              </w:rPr>
              <w:t xml:space="preserve">. En la página del GHS en Chile </w:t>
            </w:r>
            <w:r w:rsidRPr="002D0393">
              <w:rPr>
                <w:color w:val="0070C0"/>
                <w:sz w:val="22"/>
                <w:szCs w:val="22"/>
                <w:lang w:val="es-CL"/>
              </w:rPr>
              <w:t>(</w:t>
            </w:r>
            <w:hyperlink r:id="rId29" w:history="1">
              <w:r w:rsidRPr="002D0393">
                <w:rPr>
                  <w:rStyle w:val="Hyperlink"/>
                  <w:color w:val="0070C0"/>
                  <w:sz w:val="22"/>
                  <w:szCs w:val="22"/>
                  <w:lang w:val="es-CL"/>
                </w:rPr>
                <w:t>www.ghs-chile.cl</w:t>
              </w:r>
            </w:hyperlink>
            <w:r>
              <w:rPr>
                <w:sz w:val="22"/>
                <w:szCs w:val="22"/>
                <w:lang w:val="es-CL"/>
              </w:rPr>
              <w:t>) se pueden descargar las presentaciones de los cursos Básico y Avanzado.</w:t>
            </w:r>
          </w:p>
        </w:tc>
      </w:tr>
      <w:tr w:rsidR="001A1D21" w:rsidRPr="006E6F05" w:rsidTr="001A1D21">
        <w:tc>
          <w:tcPr>
            <w:cnfStyle w:val="001000000000" w:firstRow="0" w:lastRow="0" w:firstColumn="1" w:lastColumn="0" w:oddVBand="0" w:evenVBand="0" w:oddHBand="0" w:evenHBand="0" w:firstRowFirstColumn="0" w:firstRowLastColumn="0" w:lastRowFirstColumn="0" w:lastRowLastColumn="0"/>
            <w:tcW w:w="1217" w:type="pct"/>
            <w:tcBorders>
              <w:right w:val="none" w:sz="0" w:space="0" w:color="auto"/>
            </w:tcBorders>
            <w:vAlign w:val="center"/>
          </w:tcPr>
          <w:p w:rsidR="001A1D21" w:rsidRPr="006E6F05" w:rsidRDefault="001A1D21" w:rsidP="001A1D21">
            <w:pPr>
              <w:spacing w:after="0"/>
              <w:contextualSpacing/>
              <w:rPr>
                <w:b w:val="0"/>
                <w:sz w:val="22"/>
                <w:szCs w:val="22"/>
                <w:lang w:val="es-CL"/>
              </w:rPr>
            </w:pPr>
            <w:r w:rsidRPr="006E6F05">
              <w:rPr>
                <w:sz w:val="22"/>
                <w:szCs w:val="22"/>
                <w:lang w:val="es-CL"/>
              </w:rPr>
              <w:t>Pruebas de inteligibilidad</w:t>
            </w:r>
          </w:p>
        </w:tc>
        <w:tc>
          <w:tcPr>
            <w:tcW w:w="839" w:type="pct"/>
            <w:vAlign w:val="center"/>
          </w:tcPr>
          <w:p w:rsidR="001A1D21" w:rsidRPr="006E6F05" w:rsidRDefault="001A1D21" w:rsidP="001A1D21">
            <w:pPr>
              <w:spacing w:after="0"/>
              <w:contextualSpacing/>
              <w:jc w:val="center"/>
              <w:cnfStyle w:val="000000000000" w:firstRow="0" w:lastRow="0" w:firstColumn="0" w:lastColumn="0" w:oddVBand="0" w:evenVBand="0" w:oddHBand="0" w:evenHBand="0" w:firstRowFirstColumn="0" w:firstRowLastColumn="0" w:lastRowFirstColumn="0" w:lastRowLastColumn="0"/>
              <w:rPr>
                <w:sz w:val="22"/>
                <w:szCs w:val="22"/>
                <w:lang w:val="es-CL"/>
              </w:rPr>
            </w:pPr>
            <w:r w:rsidRPr="006E6F05">
              <w:rPr>
                <w:sz w:val="22"/>
                <w:szCs w:val="22"/>
                <w:lang w:val="es-CL"/>
              </w:rPr>
              <w:t>No</w:t>
            </w:r>
          </w:p>
        </w:tc>
        <w:tc>
          <w:tcPr>
            <w:tcW w:w="2944" w:type="pct"/>
            <w:vAlign w:val="center"/>
          </w:tcPr>
          <w:p w:rsidR="001A1D21" w:rsidRPr="006E6F05" w:rsidRDefault="001A1D21" w:rsidP="005969FF">
            <w:pPr>
              <w:spacing w:after="0"/>
              <w:contextualSpacing/>
              <w:jc w:val="both"/>
              <w:cnfStyle w:val="000000000000" w:firstRow="0" w:lastRow="0" w:firstColumn="0" w:lastColumn="0" w:oddVBand="0" w:evenVBand="0" w:oddHBand="0" w:evenHBand="0" w:firstRowFirstColumn="0" w:firstRowLastColumn="0" w:lastRowFirstColumn="0" w:lastRowLastColumn="0"/>
              <w:rPr>
                <w:sz w:val="22"/>
                <w:szCs w:val="22"/>
                <w:lang w:val="es-CL"/>
              </w:rPr>
            </w:pPr>
            <w:r w:rsidRPr="006E6F05">
              <w:rPr>
                <w:sz w:val="22"/>
                <w:szCs w:val="22"/>
                <w:lang w:val="es-CL"/>
              </w:rPr>
              <w:t xml:space="preserve">Como se mencionó en la Tabla </w:t>
            </w:r>
            <w:r>
              <w:rPr>
                <w:sz w:val="22"/>
                <w:szCs w:val="22"/>
                <w:lang w:val="es-CL"/>
              </w:rPr>
              <w:t>6</w:t>
            </w:r>
            <w:r w:rsidRPr="006E6F05">
              <w:rPr>
                <w:sz w:val="22"/>
                <w:szCs w:val="22"/>
                <w:lang w:val="es-CL"/>
              </w:rPr>
              <w:t xml:space="preserve">, no se </w:t>
            </w:r>
            <w:r w:rsidR="005969FF">
              <w:rPr>
                <w:sz w:val="22"/>
                <w:szCs w:val="22"/>
                <w:lang w:val="es-CL"/>
              </w:rPr>
              <w:t>realizaron</w:t>
            </w:r>
            <w:r w:rsidRPr="006E6F05">
              <w:rPr>
                <w:sz w:val="22"/>
                <w:szCs w:val="22"/>
                <w:lang w:val="es-CL"/>
              </w:rPr>
              <w:t xml:space="preserve"> </w:t>
            </w:r>
            <w:r>
              <w:rPr>
                <w:sz w:val="22"/>
                <w:szCs w:val="22"/>
                <w:lang w:val="es-CL"/>
              </w:rPr>
              <w:t>actividades relacionadas a este punto.</w:t>
            </w:r>
          </w:p>
        </w:tc>
      </w:tr>
      <w:tr w:rsidR="001A1D21" w:rsidRPr="006E6F05" w:rsidTr="001A1D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7" w:type="pct"/>
            <w:tcBorders>
              <w:top w:val="none" w:sz="0" w:space="0" w:color="auto"/>
              <w:bottom w:val="none" w:sz="0" w:space="0" w:color="auto"/>
              <w:right w:val="none" w:sz="0" w:space="0" w:color="auto"/>
            </w:tcBorders>
            <w:vAlign w:val="center"/>
          </w:tcPr>
          <w:p w:rsidR="001A1D21" w:rsidRPr="006E6F05" w:rsidRDefault="001A1D21" w:rsidP="001A1D21">
            <w:pPr>
              <w:spacing w:after="0"/>
              <w:contextualSpacing/>
              <w:rPr>
                <w:b w:val="0"/>
                <w:bCs w:val="0"/>
                <w:kern w:val="0"/>
                <w:sz w:val="22"/>
                <w:szCs w:val="22"/>
                <w:lang w:val="es-CL"/>
              </w:rPr>
            </w:pPr>
            <w:r w:rsidRPr="006E6F05">
              <w:rPr>
                <w:sz w:val="22"/>
                <w:szCs w:val="22"/>
                <w:lang w:val="es-CL"/>
              </w:rPr>
              <w:t>Lista de expertos del GHS</w:t>
            </w:r>
          </w:p>
        </w:tc>
        <w:tc>
          <w:tcPr>
            <w:tcW w:w="839" w:type="pct"/>
            <w:tcBorders>
              <w:top w:val="none" w:sz="0" w:space="0" w:color="auto"/>
              <w:bottom w:val="none" w:sz="0" w:space="0" w:color="auto"/>
            </w:tcBorders>
            <w:vAlign w:val="center"/>
          </w:tcPr>
          <w:p w:rsidR="001A1D21" w:rsidRPr="006E6F05" w:rsidRDefault="001A1D21" w:rsidP="001A1D21">
            <w:pPr>
              <w:autoSpaceDE w:val="0"/>
              <w:autoSpaceDN w:val="0"/>
              <w:adjustRightInd w:val="0"/>
              <w:spacing w:after="0" w:line="240" w:lineRule="auto"/>
              <w:contextualSpacing/>
              <w:jc w:val="center"/>
              <w:cnfStyle w:val="000000100000" w:firstRow="0" w:lastRow="0" w:firstColumn="0" w:lastColumn="0" w:oddVBand="0" w:evenVBand="0" w:oddHBand="1" w:evenHBand="0" w:firstRowFirstColumn="0" w:firstRowLastColumn="0" w:lastRowFirstColumn="0" w:lastRowLastColumn="0"/>
              <w:rPr>
                <w:kern w:val="0"/>
                <w:sz w:val="22"/>
                <w:szCs w:val="22"/>
                <w:lang w:val="es-CL"/>
              </w:rPr>
            </w:pPr>
            <w:r w:rsidRPr="006E6F05">
              <w:rPr>
                <w:kern w:val="0"/>
                <w:sz w:val="22"/>
                <w:szCs w:val="22"/>
                <w:lang w:val="es-CL"/>
              </w:rPr>
              <w:t>Sí</w:t>
            </w:r>
          </w:p>
        </w:tc>
        <w:tc>
          <w:tcPr>
            <w:tcW w:w="2944" w:type="pct"/>
            <w:tcBorders>
              <w:top w:val="none" w:sz="0" w:space="0" w:color="auto"/>
              <w:bottom w:val="none" w:sz="0" w:space="0" w:color="auto"/>
            </w:tcBorders>
            <w:vAlign w:val="center"/>
          </w:tcPr>
          <w:p w:rsidR="001A1D21" w:rsidRPr="006E6F05" w:rsidRDefault="001A1D21" w:rsidP="005969FF">
            <w:pPr>
              <w:autoSpaceDE w:val="0"/>
              <w:autoSpaceDN w:val="0"/>
              <w:adjustRightInd w:val="0"/>
              <w:spacing w:after="0" w:line="240" w:lineRule="auto"/>
              <w:contextualSpacing/>
              <w:jc w:val="both"/>
              <w:cnfStyle w:val="000000100000" w:firstRow="0" w:lastRow="0" w:firstColumn="0" w:lastColumn="0" w:oddVBand="0" w:evenVBand="0" w:oddHBand="1" w:evenHBand="0" w:firstRowFirstColumn="0" w:firstRowLastColumn="0" w:lastRowFirstColumn="0" w:lastRowLastColumn="0"/>
              <w:rPr>
                <w:kern w:val="0"/>
                <w:sz w:val="22"/>
                <w:szCs w:val="22"/>
                <w:lang w:val="es-CL"/>
              </w:rPr>
            </w:pPr>
            <w:r w:rsidRPr="006E6F05">
              <w:rPr>
                <w:kern w:val="0"/>
                <w:sz w:val="22"/>
                <w:szCs w:val="22"/>
                <w:lang w:val="es-CL"/>
              </w:rPr>
              <w:t>Durante la primera etapa del proyecto, se identificaron a expertos nacionales e internacionales sobre</w:t>
            </w:r>
            <w:r>
              <w:rPr>
                <w:kern w:val="0"/>
                <w:sz w:val="22"/>
                <w:szCs w:val="22"/>
                <w:lang w:val="es-CL"/>
              </w:rPr>
              <w:t xml:space="preserve"> el GHS para capacitación de las </w:t>
            </w:r>
            <w:r w:rsidRPr="006E6F05">
              <w:rPr>
                <w:kern w:val="0"/>
                <w:sz w:val="22"/>
                <w:szCs w:val="22"/>
                <w:lang w:val="es-CL"/>
              </w:rPr>
              <w:t>Mesa</w:t>
            </w:r>
            <w:r>
              <w:rPr>
                <w:kern w:val="0"/>
                <w:sz w:val="22"/>
                <w:szCs w:val="22"/>
                <w:lang w:val="es-CL"/>
              </w:rPr>
              <w:t>s</w:t>
            </w:r>
            <w:r w:rsidRPr="006E6F05">
              <w:rPr>
                <w:kern w:val="0"/>
                <w:sz w:val="22"/>
                <w:szCs w:val="22"/>
                <w:lang w:val="es-CL"/>
              </w:rPr>
              <w:t xml:space="preserve"> de Trabajo</w:t>
            </w:r>
            <w:r>
              <w:rPr>
                <w:kern w:val="0"/>
                <w:sz w:val="22"/>
                <w:szCs w:val="22"/>
                <w:lang w:val="es-CL"/>
              </w:rPr>
              <w:t xml:space="preserve">. </w:t>
            </w:r>
            <w:r w:rsidR="005969FF">
              <w:rPr>
                <w:kern w:val="0"/>
                <w:sz w:val="22"/>
                <w:szCs w:val="22"/>
                <w:lang w:val="es-CL"/>
              </w:rPr>
              <w:t>S</w:t>
            </w:r>
            <w:r>
              <w:rPr>
                <w:kern w:val="0"/>
                <w:sz w:val="22"/>
                <w:szCs w:val="22"/>
                <w:lang w:val="es-CL"/>
              </w:rPr>
              <w:t xml:space="preserve">e puede acceder al listado de expertos internacionales en </w:t>
            </w:r>
            <w:hyperlink r:id="rId30" w:history="1">
              <w:r w:rsidRPr="002D0393">
                <w:rPr>
                  <w:rStyle w:val="Hyperlink"/>
                  <w:color w:val="0070C0"/>
                  <w:kern w:val="0"/>
                  <w:sz w:val="22"/>
                  <w:szCs w:val="22"/>
                  <w:lang w:val="es-CL"/>
                </w:rPr>
                <w:t>http://www2.unitar.org/cwm/ghs_partnership/expertroster.htm</w:t>
              </w:r>
            </w:hyperlink>
            <w:r>
              <w:rPr>
                <w:kern w:val="0"/>
                <w:sz w:val="22"/>
                <w:szCs w:val="22"/>
                <w:lang w:val="es-CL"/>
              </w:rPr>
              <w:t>.</w:t>
            </w:r>
          </w:p>
        </w:tc>
      </w:tr>
    </w:tbl>
    <w:p w:rsidR="006D0FB7" w:rsidRDefault="006D0FB7" w:rsidP="002516BB">
      <w:pPr>
        <w:jc w:val="both"/>
        <w:rPr>
          <w:szCs w:val="23"/>
        </w:rPr>
      </w:pPr>
    </w:p>
    <w:p w:rsidR="006D0FB7" w:rsidRPr="002516BB" w:rsidRDefault="001A1D21" w:rsidP="002516BB">
      <w:pPr>
        <w:jc w:val="both"/>
        <w:rPr>
          <w:sz w:val="22"/>
          <w:szCs w:val="22"/>
          <w:lang w:val="es-CL"/>
        </w:rPr>
      </w:pPr>
      <w:r w:rsidRPr="002516BB">
        <w:rPr>
          <w:sz w:val="22"/>
          <w:szCs w:val="22"/>
          <w:lang w:val="es-CL"/>
        </w:rPr>
        <w:t xml:space="preserve">Chile ha recibido por parte de UNITAR, los materiales de orientación y capacitación detallados en la Tabla </w:t>
      </w:r>
      <w:r w:rsidR="003908CC">
        <w:rPr>
          <w:sz w:val="22"/>
          <w:szCs w:val="22"/>
          <w:lang w:val="es-CL"/>
        </w:rPr>
        <w:t>7</w:t>
      </w:r>
      <w:r w:rsidRPr="002516BB">
        <w:rPr>
          <w:sz w:val="22"/>
          <w:szCs w:val="22"/>
          <w:lang w:val="es-CL"/>
        </w:rPr>
        <w:t>, ya sea para su distribución en forma previa a los Talleres de Formación o para consulta durante el desarrollo del proyecto de Implementación del GHS.</w:t>
      </w:r>
    </w:p>
    <w:p w:rsidR="002516BB" w:rsidRPr="006E6F05" w:rsidRDefault="002516BB" w:rsidP="002516BB">
      <w:pPr>
        <w:spacing w:after="0" w:line="240" w:lineRule="auto"/>
        <w:jc w:val="center"/>
        <w:rPr>
          <w:b/>
          <w:sz w:val="22"/>
          <w:szCs w:val="22"/>
          <w:lang w:val="es-CL"/>
        </w:rPr>
      </w:pPr>
      <w:r>
        <w:rPr>
          <w:b/>
          <w:sz w:val="22"/>
          <w:szCs w:val="22"/>
          <w:lang w:val="es-CL"/>
        </w:rPr>
        <w:t>Tabla 8.</w:t>
      </w:r>
      <w:r w:rsidRPr="006E6F05">
        <w:rPr>
          <w:b/>
          <w:sz w:val="22"/>
          <w:szCs w:val="22"/>
          <w:lang w:val="es-CL"/>
        </w:rPr>
        <w:t xml:space="preserve"> Estado del uso de recursos de organismos internacionales para implementación de GHS</w:t>
      </w:r>
    </w:p>
    <w:tbl>
      <w:tblPr>
        <w:tblStyle w:val="Tabladelista3-nfasis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701"/>
        <w:gridCol w:w="5920"/>
      </w:tblGrid>
      <w:tr w:rsidR="002516BB" w:rsidRPr="002516BB" w:rsidTr="002516B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18" w:type="dxa"/>
            <w:tcBorders>
              <w:bottom w:val="none" w:sz="0" w:space="0" w:color="auto"/>
              <w:right w:val="none" w:sz="0" w:space="0" w:color="auto"/>
            </w:tcBorders>
            <w:vAlign w:val="center"/>
          </w:tcPr>
          <w:p w:rsidR="002516BB" w:rsidRPr="002516BB" w:rsidRDefault="002516BB" w:rsidP="003908CC">
            <w:pPr>
              <w:spacing w:after="0"/>
              <w:jc w:val="center"/>
              <w:rPr>
                <w:b w:val="0"/>
                <w:sz w:val="22"/>
                <w:szCs w:val="22"/>
                <w:lang w:val="es-CL"/>
              </w:rPr>
            </w:pPr>
            <w:r w:rsidRPr="002516BB">
              <w:rPr>
                <w:sz w:val="22"/>
                <w:szCs w:val="22"/>
                <w:lang w:val="es-CL"/>
              </w:rPr>
              <w:t>Recurso</w:t>
            </w:r>
          </w:p>
        </w:tc>
        <w:tc>
          <w:tcPr>
            <w:tcW w:w="1701" w:type="dxa"/>
            <w:vAlign w:val="center"/>
          </w:tcPr>
          <w:p w:rsidR="002516BB" w:rsidRPr="002516BB" w:rsidRDefault="002516BB" w:rsidP="003908CC">
            <w:pPr>
              <w:spacing w:after="0"/>
              <w:jc w:val="center"/>
              <w:cnfStyle w:val="100000000000" w:firstRow="1" w:lastRow="0" w:firstColumn="0" w:lastColumn="0" w:oddVBand="0" w:evenVBand="0" w:oddHBand="0" w:evenHBand="0" w:firstRowFirstColumn="0" w:firstRowLastColumn="0" w:lastRowFirstColumn="0" w:lastRowLastColumn="0"/>
              <w:rPr>
                <w:b w:val="0"/>
                <w:sz w:val="22"/>
                <w:szCs w:val="22"/>
                <w:lang w:val="es-CL"/>
              </w:rPr>
            </w:pPr>
            <w:r w:rsidRPr="002516BB">
              <w:rPr>
                <w:sz w:val="22"/>
                <w:szCs w:val="22"/>
                <w:lang w:val="es-CL"/>
              </w:rPr>
              <w:t>Utilización en Chile (Sí/No)</w:t>
            </w:r>
          </w:p>
        </w:tc>
        <w:tc>
          <w:tcPr>
            <w:tcW w:w="5920" w:type="dxa"/>
            <w:vAlign w:val="center"/>
          </w:tcPr>
          <w:p w:rsidR="002516BB" w:rsidRPr="002516BB" w:rsidRDefault="002516BB" w:rsidP="003908CC">
            <w:pPr>
              <w:spacing w:after="0"/>
              <w:jc w:val="center"/>
              <w:cnfStyle w:val="100000000000" w:firstRow="1" w:lastRow="0" w:firstColumn="0" w:lastColumn="0" w:oddVBand="0" w:evenVBand="0" w:oddHBand="0" w:evenHBand="0" w:firstRowFirstColumn="0" w:firstRowLastColumn="0" w:lastRowFirstColumn="0" w:lastRowLastColumn="0"/>
              <w:rPr>
                <w:b w:val="0"/>
                <w:sz w:val="22"/>
                <w:szCs w:val="22"/>
                <w:lang w:val="es-CL"/>
              </w:rPr>
            </w:pPr>
            <w:r w:rsidRPr="002516BB">
              <w:rPr>
                <w:sz w:val="22"/>
                <w:szCs w:val="22"/>
                <w:lang w:val="es-CL"/>
              </w:rPr>
              <w:t>Comentario</w:t>
            </w:r>
          </w:p>
        </w:tc>
      </w:tr>
      <w:tr w:rsidR="002516BB" w:rsidRPr="002516BB" w:rsidTr="00C556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Borders>
              <w:top w:val="none" w:sz="0" w:space="0" w:color="auto"/>
              <w:bottom w:val="none" w:sz="0" w:space="0" w:color="auto"/>
              <w:right w:val="none" w:sz="0" w:space="0" w:color="auto"/>
            </w:tcBorders>
            <w:vAlign w:val="center"/>
          </w:tcPr>
          <w:p w:rsidR="002516BB" w:rsidRPr="002516BB" w:rsidRDefault="002516BB" w:rsidP="00C55648">
            <w:pPr>
              <w:rPr>
                <w:b w:val="0"/>
                <w:sz w:val="22"/>
                <w:szCs w:val="22"/>
                <w:lang w:val="es-CL"/>
              </w:rPr>
            </w:pPr>
            <w:r w:rsidRPr="002516BB">
              <w:rPr>
                <w:sz w:val="22"/>
                <w:szCs w:val="22"/>
                <w:lang w:val="es-CL"/>
              </w:rPr>
              <w:t>Reporte de progreso de implementación de GHS (APEC)</w:t>
            </w:r>
          </w:p>
        </w:tc>
        <w:tc>
          <w:tcPr>
            <w:tcW w:w="1701" w:type="dxa"/>
            <w:tcBorders>
              <w:top w:val="none" w:sz="0" w:space="0" w:color="auto"/>
              <w:bottom w:val="none" w:sz="0" w:space="0" w:color="auto"/>
            </w:tcBorders>
            <w:vAlign w:val="center"/>
          </w:tcPr>
          <w:p w:rsidR="002516BB" w:rsidRPr="002516BB" w:rsidRDefault="002516BB" w:rsidP="00C55648">
            <w:pPr>
              <w:spacing w:after="0"/>
              <w:jc w:val="center"/>
              <w:cnfStyle w:val="000000100000" w:firstRow="0" w:lastRow="0" w:firstColumn="0" w:lastColumn="0" w:oddVBand="0" w:evenVBand="0" w:oddHBand="1" w:evenHBand="0" w:firstRowFirstColumn="0" w:firstRowLastColumn="0" w:lastRowFirstColumn="0" w:lastRowLastColumn="0"/>
              <w:rPr>
                <w:sz w:val="22"/>
                <w:szCs w:val="22"/>
                <w:lang w:val="es-CL"/>
              </w:rPr>
            </w:pPr>
            <w:r w:rsidRPr="002516BB">
              <w:rPr>
                <w:sz w:val="22"/>
                <w:szCs w:val="22"/>
                <w:lang w:val="es-CL"/>
              </w:rPr>
              <w:t>Sí</w:t>
            </w:r>
          </w:p>
        </w:tc>
        <w:tc>
          <w:tcPr>
            <w:tcW w:w="5920" w:type="dxa"/>
            <w:tcBorders>
              <w:top w:val="none" w:sz="0" w:space="0" w:color="auto"/>
              <w:bottom w:val="none" w:sz="0" w:space="0" w:color="auto"/>
            </w:tcBorders>
            <w:vAlign w:val="center"/>
          </w:tcPr>
          <w:p w:rsidR="002516BB" w:rsidRPr="002516BB" w:rsidRDefault="002516BB" w:rsidP="004E225D">
            <w:pPr>
              <w:spacing w:after="0"/>
              <w:jc w:val="both"/>
              <w:cnfStyle w:val="000000100000" w:firstRow="0" w:lastRow="0" w:firstColumn="0" w:lastColumn="0" w:oddVBand="0" w:evenVBand="0" w:oddHBand="1" w:evenHBand="0" w:firstRowFirstColumn="0" w:firstRowLastColumn="0" w:lastRowFirstColumn="0" w:lastRowLastColumn="0"/>
              <w:rPr>
                <w:sz w:val="22"/>
                <w:szCs w:val="22"/>
                <w:lang w:val="es-CL"/>
              </w:rPr>
            </w:pPr>
            <w:r w:rsidRPr="002516BB">
              <w:rPr>
                <w:sz w:val="22"/>
                <w:szCs w:val="22"/>
                <w:lang w:val="es-CL"/>
              </w:rPr>
              <w:t xml:space="preserve">Chile, como miembro de la APEC, ha contribuido al sitio Web sobre GHS </w:t>
            </w:r>
            <w:hyperlink r:id="rId31" w:history="1">
              <w:r w:rsidRPr="002D0393">
                <w:rPr>
                  <w:rStyle w:val="Hyperlink"/>
                  <w:color w:val="0070C0"/>
                  <w:sz w:val="22"/>
                  <w:szCs w:val="22"/>
                </w:rPr>
                <w:t>http://great.cla.gov.tw/ENG/index.aspx</w:t>
              </w:r>
            </w:hyperlink>
            <w:r w:rsidRPr="002516BB">
              <w:rPr>
                <w:sz w:val="22"/>
                <w:szCs w:val="22"/>
              </w:rPr>
              <w:t xml:space="preserve"> y ha completado el cuestionario para el Reporte de progreso del año 2012 el cual se encuentra disponible en</w:t>
            </w:r>
            <w:r w:rsidRPr="002516BB">
              <w:rPr>
                <w:sz w:val="22"/>
                <w:szCs w:val="22"/>
                <w:lang w:val="es-CL"/>
              </w:rPr>
              <w:t xml:space="preserve"> </w:t>
            </w:r>
            <w:hyperlink r:id="rId32" w:history="1">
              <w:r w:rsidRPr="002D0393">
                <w:rPr>
                  <w:rStyle w:val="Hyperlink"/>
                  <w:color w:val="0070C0"/>
                  <w:sz w:val="22"/>
                  <w:szCs w:val="22"/>
                  <w:lang w:val="es-CL"/>
                </w:rPr>
                <w:t>http://great.osha.gov.tw/content/image/fck/2012%20CD%20Virtual%20Working%20Group%20Report(3).pdf</w:t>
              </w:r>
            </w:hyperlink>
            <w:r w:rsidRPr="002D0393">
              <w:rPr>
                <w:color w:val="0070C0"/>
                <w:sz w:val="22"/>
                <w:szCs w:val="22"/>
                <w:lang w:val="es-CL"/>
              </w:rPr>
              <w:t>.</w:t>
            </w:r>
          </w:p>
        </w:tc>
      </w:tr>
      <w:tr w:rsidR="002516BB" w:rsidRPr="002516BB" w:rsidTr="00C55648">
        <w:tc>
          <w:tcPr>
            <w:cnfStyle w:val="001000000000" w:firstRow="0" w:lastRow="0" w:firstColumn="1" w:lastColumn="0" w:oddVBand="0" w:evenVBand="0" w:oddHBand="0" w:evenHBand="0" w:firstRowFirstColumn="0" w:firstRowLastColumn="0" w:lastRowFirstColumn="0" w:lastRowLastColumn="0"/>
            <w:tcW w:w="2518" w:type="dxa"/>
            <w:tcBorders>
              <w:right w:val="none" w:sz="0" w:space="0" w:color="auto"/>
            </w:tcBorders>
            <w:vAlign w:val="center"/>
          </w:tcPr>
          <w:p w:rsidR="002516BB" w:rsidRPr="002516BB" w:rsidRDefault="002516BB" w:rsidP="00C55648">
            <w:pPr>
              <w:rPr>
                <w:b w:val="0"/>
                <w:sz w:val="22"/>
                <w:szCs w:val="22"/>
                <w:lang w:val="es-CL"/>
              </w:rPr>
            </w:pPr>
            <w:r w:rsidRPr="002516BB">
              <w:rPr>
                <w:sz w:val="22"/>
                <w:szCs w:val="22"/>
                <w:lang w:val="es-CL"/>
              </w:rPr>
              <w:t>Directrices para ensayos de sustancias químicas (OCDE)</w:t>
            </w:r>
          </w:p>
        </w:tc>
        <w:tc>
          <w:tcPr>
            <w:tcW w:w="1701" w:type="dxa"/>
            <w:vAlign w:val="center"/>
          </w:tcPr>
          <w:p w:rsidR="002516BB" w:rsidRPr="002516BB" w:rsidRDefault="002516BB" w:rsidP="00C55648">
            <w:pPr>
              <w:spacing w:after="0"/>
              <w:jc w:val="center"/>
              <w:cnfStyle w:val="000000000000" w:firstRow="0" w:lastRow="0" w:firstColumn="0" w:lastColumn="0" w:oddVBand="0" w:evenVBand="0" w:oddHBand="0" w:evenHBand="0" w:firstRowFirstColumn="0" w:firstRowLastColumn="0" w:lastRowFirstColumn="0" w:lastRowLastColumn="0"/>
              <w:rPr>
                <w:sz w:val="22"/>
                <w:szCs w:val="22"/>
                <w:lang w:val="es-CL"/>
              </w:rPr>
            </w:pPr>
            <w:r w:rsidRPr="002516BB">
              <w:rPr>
                <w:sz w:val="22"/>
                <w:szCs w:val="22"/>
                <w:lang w:val="es-CL"/>
              </w:rPr>
              <w:t>No</w:t>
            </w:r>
          </w:p>
        </w:tc>
        <w:tc>
          <w:tcPr>
            <w:tcW w:w="5920" w:type="dxa"/>
            <w:vAlign w:val="center"/>
          </w:tcPr>
          <w:p w:rsidR="002516BB" w:rsidRPr="002516BB" w:rsidRDefault="002516BB" w:rsidP="004E225D">
            <w:pPr>
              <w:spacing w:after="0"/>
              <w:jc w:val="both"/>
              <w:cnfStyle w:val="000000000000" w:firstRow="0" w:lastRow="0" w:firstColumn="0" w:lastColumn="0" w:oddVBand="0" w:evenVBand="0" w:oddHBand="0" w:evenHBand="0" w:firstRowFirstColumn="0" w:firstRowLastColumn="0" w:lastRowFirstColumn="0" w:lastRowLastColumn="0"/>
              <w:rPr>
                <w:sz w:val="22"/>
                <w:szCs w:val="22"/>
                <w:lang w:val="es-CL"/>
              </w:rPr>
            </w:pPr>
            <w:r w:rsidRPr="002516BB">
              <w:rPr>
                <w:sz w:val="22"/>
                <w:szCs w:val="22"/>
                <w:lang w:val="es-CL"/>
              </w:rPr>
              <w:t>A la fecha, no hay antecedentes sobre su uso en el país, sin embargo, en caso de posibles vacíos en la clasificación actual de sustancias químicas, esta herramienta sería de utilidad.</w:t>
            </w:r>
          </w:p>
        </w:tc>
      </w:tr>
      <w:tr w:rsidR="002516BB" w:rsidRPr="002516BB" w:rsidTr="00C556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Borders>
              <w:top w:val="none" w:sz="0" w:space="0" w:color="auto"/>
              <w:bottom w:val="none" w:sz="0" w:space="0" w:color="auto"/>
              <w:right w:val="none" w:sz="0" w:space="0" w:color="auto"/>
            </w:tcBorders>
            <w:vAlign w:val="center"/>
          </w:tcPr>
          <w:p w:rsidR="002516BB" w:rsidRPr="002516BB" w:rsidRDefault="002516BB" w:rsidP="00C55648">
            <w:pPr>
              <w:rPr>
                <w:b w:val="0"/>
                <w:sz w:val="22"/>
                <w:szCs w:val="22"/>
                <w:lang w:val="es-CL"/>
              </w:rPr>
            </w:pPr>
            <w:r w:rsidRPr="002516BB">
              <w:rPr>
                <w:sz w:val="22"/>
                <w:szCs w:val="22"/>
                <w:lang w:val="es-CL"/>
              </w:rPr>
              <w:t>eChemPortal (OCDE)</w:t>
            </w:r>
          </w:p>
        </w:tc>
        <w:tc>
          <w:tcPr>
            <w:tcW w:w="1701" w:type="dxa"/>
            <w:tcBorders>
              <w:top w:val="none" w:sz="0" w:space="0" w:color="auto"/>
              <w:bottom w:val="none" w:sz="0" w:space="0" w:color="auto"/>
            </w:tcBorders>
            <w:vAlign w:val="center"/>
          </w:tcPr>
          <w:p w:rsidR="002516BB" w:rsidRPr="002516BB" w:rsidRDefault="002516BB" w:rsidP="00C55648">
            <w:pPr>
              <w:spacing w:after="0"/>
              <w:jc w:val="center"/>
              <w:cnfStyle w:val="000000100000" w:firstRow="0" w:lastRow="0" w:firstColumn="0" w:lastColumn="0" w:oddVBand="0" w:evenVBand="0" w:oddHBand="1" w:evenHBand="0" w:firstRowFirstColumn="0" w:firstRowLastColumn="0" w:lastRowFirstColumn="0" w:lastRowLastColumn="0"/>
              <w:rPr>
                <w:sz w:val="22"/>
                <w:szCs w:val="22"/>
                <w:lang w:val="es-CL"/>
              </w:rPr>
            </w:pPr>
            <w:r w:rsidRPr="002516BB">
              <w:rPr>
                <w:sz w:val="22"/>
                <w:szCs w:val="22"/>
                <w:lang w:val="es-CL"/>
              </w:rPr>
              <w:t>No</w:t>
            </w:r>
          </w:p>
        </w:tc>
        <w:tc>
          <w:tcPr>
            <w:tcW w:w="5920" w:type="dxa"/>
            <w:tcBorders>
              <w:top w:val="none" w:sz="0" w:space="0" w:color="auto"/>
              <w:bottom w:val="none" w:sz="0" w:space="0" w:color="auto"/>
            </w:tcBorders>
            <w:vAlign w:val="center"/>
          </w:tcPr>
          <w:p w:rsidR="002516BB" w:rsidRPr="002516BB" w:rsidRDefault="002516BB" w:rsidP="004E225D">
            <w:pPr>
              <w:spacing w:after="0"/>
              <w:jc w:val="both"/>
              <w:cnfStyle w:val="000000100000" w:firstRow="0" w:lastRow="0" w:firstColumn="0" w:lastColumn="0" w:oddVBand="0" w:evenVBand="0" w:oddHBand="1" w:evenHBand="0" w:firstRowFirstColumn="0" w:firstRowLastColumn="0" w:lastRowFirstColumn="0" w:lastRowLastColumn="0"/>
              <w:rPr>
                <w:sz w:val="22"/>
                <w:szCs w:val="22"/>
                <w:lang w:val="es-CL"/>
              </w:rPr>
            </w:pPr>
            <w:r w:rsidRPr="002516BB">
              <w:rPr>
                <w:sz w:val="22"/>
                <w:szCs w:val="22"/>
                <w:lang w:val="es-CL"/>
              </w:rPr>
              <w:t>A la fecha, no hay antecedentes sobre su uso en el país, sin embargo, en caso de posibles vacíos en la clasificación actual de sustancias químicas, esta herramienta sería de utilidad.</w:t>
            </w:r>
          </w:p>
        </w:tc>
      </w:tr>
      <w:tr w:rsidR="002516BB" w:rsidRPr="002516BB" w:rsidTr="00C55648">
        <w:tc>
          <w:tcPr>
            <w:cnfStyle w:val="001000000000" w:firstRow="0" w:lastRow="0" w:firstColumn="1" w:lastColumn="0" w:oddVBand="0" w:evenVBand="0" w:oddHBand="0" w:evenHBand="0" w:firstRowFirstColumn="0" w:firstRowLastColumn="0" w:lastRowFirstColumn="0" w:lastRowLastColumn="0"/>
            <w:tcW w:w="2518" w:type="dxa"/>
            <w:tcBorders>
              <w:right w:val="none" w:sz="0" w:space="0" w:color="auto"/>
            </w:tcBorders>
            <w:vAlign w:val="center"/>
          </w:tcPr>
          <w:p w:rsidR="002516BB" w:rsidRPr="002516BB" w:rsidRDefault="002516BB" w:rsidP="00C55648">
            <w:pPr>
              <w:rPr>
                <w:b w:val="0"/>
                <w:sz w:val="22"/>
                <w:szCs w:val="22"/>
                <w:lang w:val="es-CL"/>
              </w:rPr>
            </w:pPr>
            <w:r w:rsidRPr="002516BB">
              <w:rPr>
                <w:sz w:val="22"/>
                <w:szCs w:val="22"/>
                <w:lang w:val="es-CL"/>
              </w:rPr>
              <w:t>Reporte sobre preparación de implementación de GHS  (OCDE)</w:t>
            </w:r>
          </w:p>
        </w:tc>
        <w:tc>
          <w:tcPr>
            <w:tcW w:w="1701" w:type="dxa"/>
            <w:vAlign w:val="center"/>
          </w:tcPr>
          <w:p w:rsidR="002516BB" w:rsidRPr="002516BB" w:rsidRDefault="002516BB" w:rsidP="00C55648">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kern w:val="0"/>
                <w:sz w:val="22"/>
                <w:szCs w:val="22"/>
                <w:lang w:val="es-CL"/>
              </w:rPr>
            </w:pPr>
            <w:r w:rsidRPr="002516BB">
              <w:rPr>
                <w:kern w:val="0"/>
                <w:sz w:val="22"/>
                <w:szCs w:val="22"/>
                <w:lang w:val="es-CL"/>
              </w:rPr>
              <w:t>Sí</w:t>
            </w:r>
          </w:p>
        </w:tc>
        <w:tc>
          <w:tcPr>
            <w:tcW w:w="5920" w:type="dxa"/>
            <w:vAlign w:val="center"/>
          </w:tcPr>
          <w:p w:rsidR="002516BB" w:rsidRPr="002516BB" w:rsidRDefault="005969FF" w:rsidP="005969FF">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kern w:val="0"/>
                <w:sz w:val="22"/>
                <w:szCs w:val="22"/>
                <w:lang w:val="es-CL"/>
              </w:rPr>
            </w:pPr>
            <w:r>
              <w:rPr>
                <w:kern w:val="0"/>
                <w:sz w:val="22"/>
                <w:szCs w:val="22"/>
                <w:lang w:val="es-CL"/>
              </w:rPr>
              <w:t>Está</w:t>
            </w:r>
            <w:r w:rsidR="002516BB" w:rsidRPr="002516BB">
              <w:rPr>
                <w:kern w:val="0"/>
                <w:sz w:val="22"/>
                <w:szCs w:val="22"/>
                <w:lang w:val="es-CL"/>
              </w:rPr>
              <w:t xml:space="preserve"> disponible información del año 2007 cuando Chile recién comenzaba con el proyecto del GHS y no pertenecía a la OCDE y que entregó como conclusión la necesidad de formación técnica sobre el GHS en el país. </w:t>
            </w:r>
          </w:p>
        </w:tc>
      </w:tr>
    </w:tbl>
    <w:p w:rsidR="006D0FB7" w:rsidRPr="002516BB" w:rsidRDefault="002516BB" w:rsidP="004F5664">
      <w:pPr>
        <w:spacing w:before="180"/>
        <w:jc w:val="both"/>
        <w:rPr>
          <w:sz w:val="22"/>
          <w:szCs w:val="22"/>
          <w:lang w:val="es-CL"/>
        </w:rPr>
      </w:pPr>
      <w:r w:rsidRPr="002516BB">
        <w:rPr>
          <w:sz w:val="22"/>
          <w:szCs w:val="22"/>
          <w:lang w:val="es-CL"/>
        </w:rPr>
        <w:t xml:space="preserve">La participación de los países en los foros de cooperación y en los reportes de la OCDE y de la APEC puede permitir que se tomen en cuenta detalles sobre la implementación del GHS que podrían no haber sido considerados en un principio y que gracias al intercambio de información han sido discutidos y considerados, por ejemplo, enfoques de aplicación, criterios con respecto a productos importados, intercambio de profesionales expertos, etc. </w:t>
      </w:r>
    </w:p>
    <w:p w:rsidR="00003E95" w:rsidRPr="006002A5" w:rsidRDefault="00003E95" w:rsidP="00003E95">
      <w:pPr>
        <w:spacing w:after="0" w:line="240" w:lineRule="auto"/>
        <w:jc w:val="center"/>
        <w:rPr>
          <w:b/>
          <w:sz w:val="22"/>
          <w:szCs w:val="22"/>
          <w:lang w:val="es-CL"/>
        </w:rPr>
      </w:pPr>
      <w:r>
        <w:rPr>
          <w:b/>
          <w:sz w:val="22"/>
          <w:szCs w:val="22"/>
          <w:lang w:val="es-CL"/>
        </w:rPr>
        <w:t>Tabla 9.</w:t>
      </w:r>
      <w:r w:rsidRPr="006002A5">
        <w:rPr>
          <w:b/>
          <w:sz w:val="22"/>
          <w:szCs w:val="22"/>
          <w:lang w:val="es-CL"/>
        </w:rPr>
        <w:t xml:space="preserve"> Estado de las Instancias de cooperación técnico-financiero para implementación de GHS</w:t>
      </w:r>
    </w:p>
    <w:tbl>
      <w:tblPr>
        <w:tblStyle w:val="Tabladelista3-nfasis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8237"/>
      </w:tblGrid>
      <w:tr w:rsidR="00003E95" w:rsidRPr="00003E95" w:rsidTr="00003E9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69" w:type="dxa"/>
            <w:tcBorders>
              <w:bottom w:val="none" w:sz="0" w:space="0" w:color="auto"/>
              <w:right w:val="none" w:sz="0" w:space="0" w:color="auto"/>
            </w:tcBorders>
          </w:tcPr>
          <w:p w:rsidR="00003E95" w:rsidRPr="00003E95" w:rsidRDefault="00003E95" w:rsidP="00003E95">
            <w:pPr>
              <w:contextualSpacing/>
              <w:jc w:val="center"/>
              <w:rPr>
                <w:b w:val="0"/>
                <w:sz w:val="22"/>
                <w:szCs w:val="22"/>
                <w:lang w:val="es-CL"/>
              </w:rPr>
            </w:pPr>
            <w:r w:rsidRPr="00003E95">
              <w:rPr>
                <w:sz w:val="22"/>
                <w:szCs w:val="22"/>
                <w:lang w:val="es-CL"/>
              </w:rPr>
              <w:t>Proyecto</w:t>
            </w:r>
          </w:p>
        </w:tc>
        <w:tc>
          <w:tcPr>
            <w:tcW w:w="8613" w:type="dxa"/>
          </w:tcPr>
          <w:p w:rsidR="00003E95" w:rsidRPr="00003E95" w:rsidRDefault="00003E95" w:rsidP="00003E95">
            <w:pPr>
              <w:contextualSpacing/>
              <w:jc w:val="center"/>
              <w:cnfStyle w:val="100000000000" w:firstRow="1" w:lastRow="0" w:firstColumn="0" w:lastColumn="0" w:oddVBand="0" w:evenVBand="0" w:oddHBand="0" w:evenHBand="0" w:firstRowFirstColumn="0" w:firstRowLastColumn="0" w:lastRowFirstColumn="0" w:lastRowLastColumn="0"/>
              <w:rPr>
                <w:b w:val="0"/>
                <w:sz w:val="22"/>
                <w:szCs w:val="22"/>
                <w:lang w:val="es-CL"/>
              </w:rPr>
            </w:pPr>
            <w:r w:rsidRPr="00003E95">
              <w:rPr>
                <w:sz w:val="22"/>
                <w:szCs w:val="22"/>
                <w:lang w:val="es-CL"/>
              </w:rPr>
              <w:t>Comentarios</w:t>
            </w:r>
          </w:p>
        </w:tc>
      </w:tr>
      <w:tr w:rsidR="00003E95" w:rsidRPr="00003E95" w:rsidTr="00191F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9" w:type="dxa"/>
            <w:tcBorders>
              <w:top w:val="none" w:sz="0" w:space="0" w:color="auto"/>
              <w:bottom w:val="none" w:sz="0" w:space="0" w:color="auto"/>
              <w:right w:val="none" w:sz="0" w:space="0" w:color="auto"/>
            </w:tcBorders>
            <w:vAlign w:val="center"/>
          </w:tcPr>
          <w:p w:rsidR="00003E95" w:rsidRPr="00003E95" w:rsidRDefault="00003E95" w:rsidP="00191F4B">
            <w:pPr>
              <w:contextualSpacing/>
              <w:rPr>
                <w:b w:val="0"/>
                <w:sz w:val="22"/>
                <w:szCs w:val="22"/>
                <w:lang w:val="es-CL"/>
              </w:rPr>
            </w:pPr>
            <w:r w:rsidRPr="00003E95">
              <w:rPr>
                <w:sz w:val="22"/>
                <w:szCs w:val="22"/>
                <w:lang w:val="es-CL"/>
              </w:rPr>
              <w:t>Mercosur/BID</w:t>
            </w:r>
          </w:p>
        </w:tc>
        <w:tc>
          <w:tcPr>
            <w:tcW w:w="8613" w:type="dxa"/>
            <w:tcBorders>
              <w:top w:val="none" w:sz="0" w:space="0" w:color="auto"/>
              <w:bottom w:val="none" w:sz="0" w:space="0" w:color="auto"/>
            </w:tcBorders>
          </w:tcPr>
          <w:p w:rsidR="00003E95" w:rsidRPr="00003E95" w:rsidRDefault="00003E95" w:rsidP="005969FF">
            <w:pPr>
              <w:contextualSpacing/>
              <w:jc w:val="both"/>
              <w:cnfStyle w:val="000000100000" w:firstRow="0" w:lastRow="0" w:firstColumn="0" w:lastColumn="0" w:oddVBand="0" w:evenVBand="0" w:oddHBand="1" w:evenHBand="0" w:firstRowFirstColumn="0" w:firstRowLastColumn="0" w:lastRowFirstColumn="0" w:lastRowLastColumn="0"/>
              <w:rPr>
                <w:sz w:val="22"/>
                <w:szCs w:val="22"/>
                <w:lang w:val="es-CL"/>
              </w:rPr>
            </w:pPr>
            <w:r w:rsidRPr="00003E95">
              <w:rPr>
                <w:sz w:val="22"/>
                <w:szCs w:val="22"/>
                <w:lang w:val="es-CL"/>
              </w:rPr>
              <w:t>Entre los resultados de este proyecto se encuentran los relacionados con el primer objetivo sobre Estrategia Regional para Implementación de GHS: Información sobre marcos normativos en relación a aplicación del GHS y Base de datos de normativa (</w:t>
            </w:r>
            <w:hyperlink r:id="rId33" w:history="1">
              <w:r w:rsidRPr="002D0393">
                <w:rPr>
                  <w:rStyle w:val="Hyperlink"/>
                  <w:color w:val="0070C0"/>
                  <w:sz w:val="22"/>
                  <w:szCs w:val="22"/>
                  <w:lang w:val="es-CL"/>
                </w:rPr>
                <w:t>http://mercosur.weebly.com/</w:t>
              </w:r>
            </w:hyperlink>
            <w:r w:rsidRPr="00003E95">
              <w:rPr>
                <w:sz w:val="22"/>
                <w:szCs w:val="22"/>
                <w:lang w:val="es-CL"/>
              </w:rPr>
              <w:t xml:space="preserve">). </w:t>
            </w:r>
          </w:p>
        </w:tc>
      </w:tr>
      <w:tr w:rsidR="00003E95" w:rsidRPr="00003E95" w:rsidTr="00191F4B">
        <w:tc>
          <w:tcPr>
            <w:cnfStyle w:val="001000000000" w:firstRow="0" w:lastRow="0" w:firstColumn="1" w:lastColumn="0" w:oddVBand="0" w:evenVBand="0" w:oddHBand="0" w:evenHBand="0" w:firstRowFirstColumn="0" w:firstRowLastColumn="0" w:lastRowFirstColumn="0" w:lastRowLastColumn="0"/>
            <w:tcW w:w="1469" w:type="dxa"/>
            <w:tcBorders>
              <w:right w:val="none" w:sz="0" w:space="0" w:color="auto"/>
            </w:tcBorders>
            <w:vAlign w:val="center"/>
          </w:tcPr>
          <w:p w:rsidR="00003E95" w:rsidRPr="00003E95" w:rsidRDefault="00003E95" w:rsidP="00727277">
            <w:pPr>
              <w:contextualSpacing/>
              <w:rPr>
                <w:sz w:val="22"/>
                <w:szCs w:val="22"/>
                <w:lang w:val="es-CL"/>
              </w:rPr>
            </w:pPr>
            <w:r w:rsidRPr="00003E95">
              <w:rPr>
                <w:sz w:val="22"/>
                <w:szCs w:val="22"/>
                <w:lang w:val="es-CL"/>
              </w:rPr>
              <w:t>Fondo Fiduciario SAICM</w:t>
            </w:r>
          </w:p>
        </w:tc>
        <w:tc>
          <w:tcPr>
            <w:tcW w:w="8613" w:type="dxa"/>
          </w:tcPr>
          <w:p w:rsidR="00003E95" w:rsidRPr="00003E95" w:rsidRDefault="00003E95" w:rsidP="00003E95">
            <w:pPr>
              <w:contextualSpacing/>
              <w:jc w:val="both"/>
              <w:cnfStyle w:val="000000000000" w:firstRow="0" w:lastRow="0" w:firstColumn="0" w:lastColumn="0" w:oddVBand="0" w:evenVBand="0" w:oddHBand="0" w:evenHBand="0" w:firstRowFirstColumn="0" w:firstRowLastColumn="0" w:lastRowFirstColumn="0" w:lastRowLastColumn="0"/>
              <w:rPr>
                <w:sz w:val="22"/>
                <w:szCs w:val="22"/>
                <w:lang w:val="es-CL"/>
              </w:rPr>
            </w:pPr>
            <w:r w:rsidRPr="00003E95">
              <w:rPr>
                <w:sz w:val="22"/>
                <w:szCs w:val="22"/>
                <w:lang w:val="es-CL"/>
              </w:rPr>
              <w:t>Dentro de las actividades realizadas y financiadas en el marco de este proyecto se encuentran la Conformación del comité, Establecimiento de plan de trabajo, Presupuesto y Términos de referencia, Jornadas de Talleres de Capacitación de GHS y el Análisis de Vacíos legales del GHS en Chile</w:t>
            </w:r>
            <w:r w:rsidR="005969FF">
              <w:rPr>
                <w:sz w:val="22"/>
                <w:szCs w:val="22"/>
                <w:lang w:val="es-CL"/>
              </w:rPr>
              <w:t xml:space="preserve"> y elaboración de la Estrategia Nacional de Implementación del GHS</w:t>
            </w:r>
            <w:r w:rsidRPr="00003E95">
              <w:rPr>
                <w:sz w:val="22"/>
                <w:szCs w:val="22"/>
                <w:lang w:val="es-CL"/>
              </w:rPr>
              <w:t>.</w:t>
            </w:r>
          </w:p>
        </w:tc>
      </w:tr>
    </w:tbl>
    <w:p w:rsidR="005969FF" w:rsidRDefault="005969FF" w:rsidP="00C6280D">
      <w:pPr>
        <w:jc w:val="both"/>
        <w:rPr>
          <w:sz w:val="22"/>
          <w:szCs w:val="22"/>
        </w:rPr>
      </w:pPr>
    </w:p>
    <w:p w:rsidR="00E26CB4" w:rsidRDefault="00E26CB4" w:rsidP="004606E3">
      <w:pPr>
        <w:pStyle w:val="ListParagraph"/>
        <w:contextualSpacing w:val="0"/>
        <w:jc w:val="both"/>
        <w:rPr>
          <w:sz w:val="22"/>
          <w:szCs w:val="22"/>
          <w:lang w:val="es-CL"/>
        </w:rPr>
      </w:pPr>
    </w:p>
    <w:p w:rsidR="005969FF" w:rsidRDefault="005969FF" w:rsidP="004606E3">
      <w:pPr>
        <w:pStyle w:val="ListParagraph"/>
        <w:contextualSpacing w:val="0"/>
        <w:jc w:val="both"/>
        <w:rPr>
          <w:sz w:val="22"/>
          <w:szCs w:val="22"/>
          <w:lang w:val="es-CL"/>
        </w:rPr>
      </w:pPr>
    </w:p>
    <w:p w:rsidR="005969FF" w:rsidRDefault="005969FF" w:rsidP="004606E3">
      <w:pPr>
        <w:pStyle w:val="ListParagraph"/>
        <w:contextualSpacing w:val="0"/>
        <w:jc w:val="both"/>
        <w:rPr>
          <w:sz w:val="22"/>
          <w:szCs w:val="22"/>
          <w:lang w:val="es-CL"/>
        </w:rPr>
      </w:pPr>
    </w:p>
    <w:p w:rsidR="005969FF" w:rsidRDefault="005969FF" w:rsidP="004606E3">
      <w:pPr>
        <w:pStyle w:val="ListParagraph"/>
        <w:contextualSpacing w:val="0"/>
        <w:jc w:val="both"/>
        <w:rPr>
          <w:sz w:val="22"/>
          <w:szCs w:val="22"/>
          <w:lang w:val="es-CL"/>
        </w:rPr>
      </w:pPr>
    </w:p>
    <w:p w:rsidR="006D0FB7" w:rsidRDefault="006D0FB7" w:rsidP="004606E3">
      <w:pPr>
        <w:pStyle w:val="ListParagraph"/>
        <w:contextualSpacing w:val="0"/>
        <w:jc w:val="both"/>
        <w:rPr>
          <w:sz w:val="22"/>
          <w:szCs w:val="22"/>
          <w:lang w:val="es-CL"/>
        </w:rPr>
      </w:pPr>
    </w:p>
    <w:p w:rsidR="006D0FB7" w:rsidRDefault="006D0FB7" w:rsidP="004606E3">
      <w:pPr>
        <w:pStyle w:val="ListParagraph"/>
        <w:contextualSpacing w:val="0"/>
        <w:jc w:val="both"/>
        <w:rPr>
          <w:sz w:val="22"/>
          <w:szCs w:val="22"/>
          <w:lang w:val="es-CL"/>
        </w:rPr>
      </w:pPr>
    </w:p>
    <w:p w:rsidR="006D0FB7" w:rsidRDefault="006D0FB7" w:rsidP="004606E3">
      <w:pPr>
        <w:pStyle w:val="ListParagraph"/>
        <w:contextualSpacing w:val="0"/>
        <w:jc w:val="both"/>
        <w:rPr>
          <w:sz w:val="22"/>
          <w:szCs w:val="22"/>
          <w:lang w:val="es-CL"/>
        </w:rPr>
      </w:pPr>
    </w:p>
    <w:p w:rsidR="006D0FB7" w:rsidRDefault="006D0FB7" w:rsidP="004606E3">
      <w:pPr>
        <w:pStyle w:val="ListParagraph"/>
        <w:contextualSpacing w:val="0"/>
        <w:jc w:val="both"/>
        <w:rPr>
          <w:sz w:val="22"/>
          <w:szCs w:val="22"/>
          <w:lang w:val="es-CL"/>
        </w:rPr>
      </w:pPr>
    </w:p>
    <w:p w:rsidR="006D0FB7" w:rsidRDefault="006D0FB7" w:rsidP="004606E3">
      <w:pPr>
        <w:pStyle w:val="ListParagraph"/>
        <w:contextualSpacing w:val="0"/>
        <w:jc w:val="both"/>
        <w:rPr>
          <w:sz w:val="22"/>
          <w:szCs w:val="22"/>
          <w:lang w:val="es-CL"/>
        </w:rPr>
      </w:pPr>
    </w:p>
    <w:p w:rsidR="006D0FB7" w:rsidRDefault="006D0FB7" w:rsidP="004606E3">
      <w:pPr>
        <w:pStyle w:val="ListParagraph"/>
        <w:contextualSpacing w:val="0"/>
        <w:jc w:val="both"/>
        <w:rPr>
          <w:sz w:val="22"/>
          <w:szCs w:val="22"/>
          <w:lang w:val="es-CL"/>
        </w:rPr>
      </w:pPr>
    </w:p>
    <w:p w:rsidR="006D0FB7" w:rsidRDefault="006D0FB7" w:rsidP="004606E3">
      <w:pPr>
        <w:pStyle w:val="ListParagraph"/>
        <w:contextualSpacing w:val="0"/>
        <w:jc w:val="both"/>
        <w:rPr>
          <w:sz w:val="22"/>
          <w:szCs w:val="22"/>
          <w:lang w:val="es-CL"/>
        </w:rPr>
      </w:pPr>
    </w:p>
    <w:p w:rsidR="006D0FB7" w:rsidRDefault="006D0FB7" w:rsidP="004606E3">
      <w:pPr>
        <w:pStyle w:val="ListParagraph"/>
        <w:contextualSpacing w:val="0"/>
        <w:jc w:val="both"/>
        <w:rPr>
          <w:sz w:val="22"/>
          <w:szCs w:val="22"/>
          <w:lang w:val="es-CL"/>
        </w:rPr>
      </w:pPr>
    </w:p>
    <w:p w:rsidR="006D0FB7" w:rsidRDefault="006D0FB7" w:rsidP="004606E3">
      <w:pPr>
        <w:pStyle w:val="ListParagraph"/>
        <w:contextualSpacing w:val="0"/>
        <w:jc w:val="both"/>
        <w:rPr>
          <w:sz w:val="22"/>
          <w:szCs w:val="22"/>
          <w:lang w:val="es-CL"/>
        </w:rPr>
      </w:pPr>
    </w:p>
    <w:p w:rsidR="006D0FB7" w:rsidRDefault="006D0FB7" w:rsidP="004606E3">
      <w:pPr>
        <w:pStyle w:val="ListParagraph"/>
        <w:contextualSpacing w:val="0"/>
        <w:jc w:val="both"/>
        <w:rPr>
          <w:sz w:val="22"/>
          <w:szCs w:val="22"/>
          <w:lang w:val="es-CL"/>
        </w:rPr>
      </w:pPr>
    </w:p>
    <w:p w:rsidR="006D0FB7" w:rsidRDefault="006D0FB7" w:rsidP="004606E3">
      <w:pPr>
        <w:pStyle w:val="ListParagraph"/>
        <w:contextualSpacing w:val="0"/>
        <w:jc w:val="both"/>
        <w:rPr>
          <w:sz w:val="22"/>
          <w:szCs w:val="22"/>
          <w:lang w:val="es-CL"/>
        </w:rPr>
      </w:pPr>
    </w:p>
    <w:p w:rsidR="006D0FB7" w:rsidRDefault="006D0FB7" w:rsidP="004606E3">
      <w:pPr>
        <w:pStyle w:val="ListParagraph"/>
        <w:contextualSpacing w:val="0"/>
        <w:jc w:val="both"/>
        <w:rPr>
          <w:sz w:val="22"/>
          <w:szCs w:val="22"/>
          <w:lang w:val="es-CL"/>
        </w:rPr>
      </w:pPr>
    </w:p>
    <w:p w:rsidR="006D0FB7" w:rsidRDefault="006D0FB7" w:rsidP="004606E3">
      <w:pPr>
        <w:pStyle w:val="ListParagraph"/>
        <w:contextualSpacing w:val="0"/>
        <w:jc w:val="both"/>
        <w:rPr>
          <w:sz w:val="22"/>
          <w:szCs w:val="22"/>
          <w:lang w:val="es-CL"/>
        </w:rPr>
      </w:pPr>
    </w:p>
    <w:p w:rsidR="006D0FB7" w:rsidRDefault="006D0FB7" w:rsidP="004606E3">
      <w:pPr>
        <w:pStyle w:val="ListParagraph"/>
        <w:contextualSpacing w:val="0"/>
        <w:jc w:val="both"/>
        <w:rPr>
          <w:sz w:val="22"/>
          <w:szCs w:val="22"/>
          <w:lang w:val="es-CL"/>
        </w:rPr>
      </w:pPr>
    </w:p>
    <w:p w:rsidR="006D0FB7" w:rsidRDefault="006D0FB7" w:rsidP="004606E3">
      <w:pPr>
        <w:pStyle w:val="ListParagraph"/>
        <w:contextualSpacing w:val="0"/>
        <w:jc w:val="both"/>
        <w:rPr>
          <w:sz w:val="22"/>
          <w:szCs w:val="22"/>
          <w:lang w:val="es-CL"/>
        </w:rPr>
      </w:pPr>
    </w:p>
    <w:p w:rsidR="006D0FB7" w:rsidRDefault="006D0FB7" w:rsidP="004606E3">
      <w:pPr>
        <w:pStyle w:val="ListParagraph"/>
        <w:contextualSpacing w:val="0"/>
        <w:jc w:val="both"/>
        <w:rPr>
          <w:sz w:val="22"/>
          <w:szCs w:val="22"/>
          <w:lang w:val="es-CL"/>
        </w:rPr>
      </w:pPr>
    </w:p>
    <w:p w:rsidR="006D0FB7" w:rsidRDefault="006D0FB7" w:rsidP="004606E3">
      <w:pPr>
        <w:pStyle w:val="ListParagraph"/>
        <w:contextualSpacing w:val="0"/>
        <w:jc w:val="both"/>
        <w:rPr>
          <w:sz w:val="22"/>
          <w:szCs w:val="22"/>
          <w:lang w:val="es-CL"/>
        </w:rPr>
      </w:pPr>
    </w:p>
    <w:p w:rsidR="009B2859" w:rsidRPr="000D5FCA" w:rsidRDefault="009B2859" w:rsidP="00606EAC">
      <w:pPr>
        <w:pStyle w:val="Heading1"/>
        <w:spacing w:before="180" w:after="180" w:line="264" w:lineRule="auto"/>
        <w:ind w:left="0" w:firstLine="0"/>
        <w:rPr>
          <w:rFonts w:asciiTheme="minorHAnsi" w:hAnsiTheme="minorHAnsi"/>
          <w:caps w:val="0"/>
          <w:lang w:val="es-CL"/>
        </w:rPr>
      </w:pPr>
      <w:bookmarkStart w:id="87" w:name="_Toc418168888"/>
      <w:r w:rsidRPr="000D5FCA">
        <w:rPr>
          <w:rFonts w:asciiTheme="minorHAnsi" w:hAnsiTheme="minorHAnsi"/>
          <w:caps w:val="0"/>
          <w:lang w:val="es-CL"/>
        </w:rPr>
        <w:t>A</w:t>
      </w:r>
      <w:r w:rsidR="000D5FCA">
        <w:rPr>
          <w:rFonts w:asciiTheme="minorHAnsi" w:hAnsiTheme="minorHAnsi"/>
          <w:caps w:val="0"/>
        </w:rPr>
        <w:t>CTIVIDADES DESARROLLADAS PARA LA FORMULACIÓN DE LA ESTRATEGIA DE IMPLEMENTACIÓN</w:t>
      </w:r>
      <w:bookmarkEnd w:id="87"/>
    </w:p>
    <w:p w:rsidR="00182813" w:rsidRDefault="002E79B8" w:rsidP="00606EAC">
      <w:pPr>
        <w:jc w:val="both"/>
        <w:rPr>
          <w:sz w:val="22"/>
          <w:szCs w:val="22"/>
          <w:lang w:val="es-CL"/>
        </w:rPr>
      </w:pPr>
      <w:r w:rsidRPr="00182813">
        <w:rPr>
          <w:sz w:val="22"/>
          <w:szCs w:val="22"/>
          <w:lang w:val="es-CL"/>
        </w:rPr>
        <w:t>Si bien todas</w:t>
      </w:r>
      <w:r w:rsidR="00E61D84">
        <w:rPr>
          <w:sz w:val="22"/>
          <w:szCs w:val="22"/>
          <w:lang w:val="es-CL"/>
        </w:rPr>
        <w:t xml:space="preserve"> las</w:t>
      </w:r>
      <w:r w:rsidRPr="00182813">
        <w:rPr>
          <w:sz w:val="22"/>
          <w:szCs w:val="22"/>
          <w:lang w:val="es-CL"/>
        </w:rPr>
        <w:t xml:space="preserve"> actividades</w:t>
      </w:r>
      <w:r w:rsidR="00E61D84">
        <w:rPr>
          <w:sz w:val="22"/>
          <w:szCs w:val="22"/>
          <w:lang w:val="es-CL"/>
        </w:rPr>
        <w:t xml:space="preserve"> </w:t>
      </w:r>
      <w:r w:rsidR="005969FF">
        <w:rPr>
          <w:sz w:val="22"/>
          <w:szCs w:val="22"/>
          <w:lang w:val="es-CL"/>
        </w:rPr>
        <w:t>realizadas</w:t>
      </w:r>
      <w:r w:rsidRPr="00182813">
        <w:rPr>
          <w:sz w:val="22"/>
          <w:szCs w:val="22"/>
          <w:lang w:val="es-CL"/>
        </w:rPr>
        <w:t xml:space="preserve"> son pasos importantes para la elaboración de la estrategia de implementación del GHS, el análisis de situación y vacíos, y por consiguiente, la actualización del Perfil Químico sobre aspectos legales, institucionales, administrativos y técnicos del manejo de sustancias químicas, son los primeros pasos desarrollados pues tienen vital relevancia para determinar los aspectos que se incluirán en ella. Las actividades de sensibilización, formación y difusión serán incluidas como parte de los planes de acción de la estrategia final de implementación.</w:t>
      </w:r>
    </w:p>
    <w:p w:rsidR="009E26B9" w:rsidRDefault="009E26B9" w:rsidP="00606EAC">
      <w:pPr>
        <w:pStyle w:val="Heading2"/>
        <w:spacing w:before="0" w:after="180"/>
        <w:ind w:left="0" w:firstLine="0"/>
        <w:rPr>
          <w:lang w:val="es-CL"/>
        </w:rPr>
      </w:pPr>
      <w:bookmarkStart w:id="88" w:name="_Toc418168889"/>
      <w:r>
        <w:rPr>
          <w:lang w:val="es-CL"/>
        </w:rPr>
        <w:t>Actualización de información del Perfil Químico Nacional</w:t>
      </w:r>
      <w:bookmarkEnd w:id="88"/>
    </w:p>
    <w:p w:rsidR="00EC1088" w:rsidRPr="009B7CC5" w:rsidRDefault="00EC30C0" w:rsidP="00606EAC">
      <w:pPr>
        <w:jc w:val="both"/>
        <w:rPr>
          <w:sz w:val="22"/>
          <w:szCs w:val="22"/>
          <w:lang w:val="es-CL"/>
        </w:rPr>
      </w:pPr>
      <w:r>
        <w:rPr>
          <w:sz w:val="22"/>
          <w:szCs w:val="22"/>
          <w:lang w:val="es-CL"/>
        </w:rPr>
        <w:t>Se realizó u</w:t>
      </w:r>
      <w:r w:rsidR="00EC1088" w:rsidRPr="009B7CC5">
        <w:rPr>
          <w:sz w:val="22"/>
          <w:szCs w:val="22"/>
          <w:lang w:val="es-CL"/>
        </w:rPr>
        <w:t>na actualización del Perfil Químico</w:t>
      </w:r>
      <w:r w:rsidR="00D229AC" w:rsidRPr="009B7CC5">
        <w:rPr>
          <w:sz w:val="22"/>
          <w:szCs w:val="22"/>
          <w:lang w:val="es-CL"/>
        </w:rPr>
        <w:t>,</w:t>
      </w:r>
      <w:r w:rsidR="00EC1088" w:rsidRPr="009B7CC5">
        <w:rPr>
          <w:sz w:val="22"/>
          <w:szCs w:val="22"/>
          <w:lang w:val="es-CL"/>
        </w:rPr>
        <w:t xml:space="preserve"> que data del año 2008</w:t>
      </w:r>
      <w:r w:rsidR="00D229AC" w:rsidRPr="009B7CC5">
        <w:rPr>
          <w:sz w:val="22"/>
          <w:szCs w:val="22"/>
          <w:lang w:val="es-CL"/>
        </w:rPr>
        <w:t>,</w:t>
      </w:r>
      <w:r w:rsidR="0043238A" w:rsidRPr="009B7CC5">
        <w:rPr>
          <w:sz w:val="22"/>
          <w:szCs w:val="22"/>
          <w:lang w:val="es-CL"/>
        </w:rPr>
        <w:t xml:space="preserve"> </w:t>
      </w:r>
      <w:r>
        <w:rPr>
          <w:sz w:val="22"/>
          <w:szCs w:val="22"/>
          <w:lang w:val="es-CL"/>
        </w:rPr>
        <w:t xml:space="preserve">en </w:t>
      </w:r>
      <w:r w:rsidR="006D0FB7">
        <w:rPr>
          <w:sz w:val="22"/>
          <w:szCs w:val="22"/>
          <w:lang w:val="es-CL"/>
        </w:rPr>
        <w:t>aquellos aspectos más relevantes</w:t>
      </w:r>
      <w:r>
        <w:rPr>
          <w:sz w:val="22"/>
          <w:szCs w:val="22"/>
          <w:lang w:val="es-CL"/>
        </w:rPr>
        <w:t xml:space="preserve"> para la elaboración de la estrategia, con el objeto de</w:t>
      </w:r>
      <w:r w:rsidR="00EC1088" w:rsidRPr="009B7CC5">
        <w:rPr>
          <w:sz w:val="22"/>
          <w:szCs w:val="22"/>
          <w:lang w:val="es-CL"/>
        </w:rPr>
        <w:t xml:space="preserve"> detectar falta</w:t>
      </w:r>
      <w:r w:rsidR="00806D26" w:rsidRPr="009B7CC5">
        <w:rPr>
          <w:sz w:val="22"/>
          <w:szCs w:val="22"/>
          <w:lang w:val="es-CL"/>
        </w:rPr>
        <w:t xml:space="preserve">s de información con respecto a la </w:t>
      </w:r>
      <w:r w:rsidR="00EC1088" w:rsidRPr="009B7CC5">
        <w:rPr>
          <w:sz w:val="22"/>
          <w:szCs w:val="22"/>
          <w:lang w:val="es-CL"/>
        </w:rPr>
        <w:t>gestión racional de las s</w:t>
      </w:r>
      <w:r w:rsidR="00806D26" w:rsidRPr="009B7CC5">
        <w:rPr>
          <w:sz w:val="22"/>
          <w:szCs w:val="22"/>
          <w:lang w:val="es-CL"/>
        </w:rPr>
        <w:t>ustancias químicas</w:t>
      </w:r>
      <w:r w:rsidR="00EC1088" w:rsidRPr="009B7CC5">
        <w:rPr>
          <w:sz w:val="22"/>
          <w:szCs w:val="22"/>
          <w:lang w:val="es-CL"/>
        </w:rPr>
        <w:t>, principalmente en los capítulos:</w:t>
      </w:r>
    </w:p>
    <w:p w:rsidR="00EC1088" w:rsidRPr="009B7CC5" w:rsidRDefault="00EC1088" w:rsidP="00D4302C">
      <w:pPr>
        <w:pStyle w:val="ListParagraph"/>
        <w:numPr>
          <w:ilvl w:val="0"/>
          <w:numId w:val="55"/>
        </w:numPr>
        <w:contextualSpacing w:val="0"/>
        <w:jc w:val="both"/>
        <w:rPr>
          <w:sz w:val="22"/>
          <w:szCs w:val="22"/>
          <w:lang w:val="es-CL"/>
        </w:rPr>
      </w:pPr>
      <w:r w:rsidRPr="009B7CC5">
        <w:rPr>
          <w:sz w:val="22"/>
          <w:szCs w:val="22"/>
          <w:lang w:val="es-CL"/>
        </w:rPr>
        <w:t>Producción, Importación, Exportación, Almacenamiento, Transporte, Uso y Disposición de Sustancias Químicas</w:t>
      </w:r>
    </w:p>
    <w:p w:rsidR="00EC1088" w:rsidRPr="009B7CC5" w:rsidRDefault="00EC1088" w:rsidP="00D4302C">
      <w:pPr>
        <w:pStyle w:val="ListParagraph"/>
        <w:numPr>
          <w:ilvl w:val="0"/>
          <w:numId w:val="55"/>
        </w:numPr>
        <w:contextualSpacing w:val="0"/>
        <w:jc w:val="both"/>
        <w:rPr>
          <w:sz w:val="22"/>
          <w:szCs w:val="22"/>
          <w:lang w:val="es-CL"/>
        </w:rPr>
      </w:pPr>
      <w:r w:rsidRPr="009B7CC5">
        <w:rPr>
          <w:rFonts w:eastAsia="Times New Roman"/>
          <w:color w:val="000000"/>
          <w:kern w:val="0"/>
          <w:sz w:val="22"/>
          <w:szCs w:val="22"/>
          <w:lang w:val="es-ES" w:eastAsia="es-ES"/>
        </w:rPr>
        <w:t>Preocupaciones Prioritarias Relacionadas con la Producción, Importación, Exportación</w:t>
      </w:r>
      <w:r w:rsidR="005E509C">
        <w:rPr>
          <w:rFonts w:eastAsia="Times New Roman"/>
          <w:color w:val="000000"/>
          <w:kern w:val="0"/>
          <w:sz w:val="22"/>
          <w:szCs w:val="22"/>
          <w:lang w:eastAsia="es-ES"/>
        </w:rPr>
        <w:t xml:space="preserve"> y Uso</w:t>
      </w:r>
      <w:r w:rsidRPr="009B7CC5">
        <w:rPr>
          <w:rFonts w:eastAsia="Times New Roman"/>
          <w:color w:val="000000"/>
          <w:kern w:val="0"/>
          <w:sz w:val="22"/>
          <w:szCs w:val="22"/>
          <w:lang w:val="es-ES" w:eastAsia="es-ES"/>
        </w:rPr>
        <w:t xml:space="preserve"> de S</w:t>
      </w:r>
      <w:r w:rsidR="00DA1358" w:rsidRPr="009B7CC5">
        <w:rPr>
          <w:rFonts w:eastAsia="Times New Roman"/>
          <w:color w:val="000000"/>
          <w:kern w:val="0"/>
          <w:sz w:val="22"/>
          <w:szCs w:val="22"/>
          <w:lang w:val="es-ES" w:eastAsia="es-ES"/>
        </w:rPr>
        <w:t>ustancias Químicas</w:t>
      </w:r>
    </w:p>
    <w:p w:rsidR="00EC1088" w:rsidRPr="009B7CC5" w:rsidRDefault="00EC1088" w:rsidP="00D4302C">
      <w:pPr>
        <w:pStyle w:val="ListParagraph"/>
        <w:numPr>
          <w:ilvl w:val="0"/>
          <w:numId w:val="55"/>
        </w:numPr>
        <w:contextualSpacing w:val="0"/>
        <w:jc w:val="both"/>
        <w:rPr>
          <w:sz w:val="22"/>
          <w:szCs w:val="22"/>
          <w:lang w:val="es-CL"/>
        </w:rPr>
      </w:pPr>
      <w:r w:rsidRPr="009B7CC5">
        <w:rPr>
          <w:rFonts w:eastAsia="Times New Roman"/>
          <w:color w:val="000000"/>
          <w:kern w:val="0"/>
          <w:sz w:val="22"/>
          <w:szCs w:val="22"/>
          <w:lang w:val="es-ES" w:eastAsia="es-ES"/>
        </w:rPr>
        <w:t>Infraestructura Técnica</w:t>
      </w:r>
    </w:p>
    <w:p w:rsidR="00EC1088" w:rsidRPr="009B7CC5" w:rsidRDefault="00EC1088" w:rsidP="00D4302C">
      <w:pPr>
        <w:pStyle w:val="ListParagraph"/>
        <w:numPr>
          <w:ilvl w:val="0"/>
          <w:numId w:val="55"/>
        </w:numPr>
        <w:contextualSpacing w:val="0"/>
        <w:jc w:val="both"/>
        <w:rPr>
          <w:sz w:val="22"/>
          <w:szCs w:val="22"/>
          <w:lang w:val="es-CL"/>
        </w:rPr>
      </w:pPr>
      <w:r w:rsidRPr="009B7CC5">
        <w:rPr>
          <w:rFonts w:eastAsia="Times New Roman"/>
          <w:color w:val="000000"/>
          <w:kern w:val="0"/>
          <w:sz w:val="22"/>
          <w:szCs w:val="22"/>
          <w:lang w:val="es-ES" w:eastAsia="es-ES"/>
        </w:rPr>
        <w:t>Concientización / Entendimiento de los Trabajadores y el Público; Capacitación y Educación de Grupos Objetivo y Profesionales</w:t>
      </w:r>
    </w:p>
    <w:p w:rsidR="00EC1088" w:rsidRPr="009B7CC5" w:rsidRDefault="00EC1088" w:rsidP="00D4302C">
      <w:pPr>
        <w:pStyle w:val="ListParagraph"/>
        <w:numPr>
          <w:ilvl w:val="0"/>
          <w:numId w:val="55"/>
        </w:numPr>
        <w:contextualSpacing w:val="0"/>
        <w:jc w:val="both"/>
        <w:rPr>
          <w:sz w:val="22"/>
          <w:szCs w:val="22"/>
          <w:lang w:val="es-CL"/>
        </w:rPr>
      </w:pPr>
      <w:r w:rsidRPr="009B7CC5">
        <w:rPr>
          <w:rFonts w:eastAsia="Times New Roman"/>
          <w:color w:val="000000"/>
          <w:kern w:val="0"/>
          <w:sz w:val="22"/>
          <w:szCs w:val="22"/>
          <w:lang w:val="es-ES" w:eastAsia="es-ES"/>
        </w:rPr>
        <w:t>Recursos necesarios y disponibles para la Gestión de Sustancias Químicas</w:t>
      </w:r>
    </w:p>
    <w:p w:rsidR="00EC1088" w:rsidRDefault="00EC1088" w:rsidP="00606EAC">
      <w:pPr>
        <w:jc w:val="both"/>
        <w:rPr>
          <w:sz w:val="22"/>
          <w:szCs w:val="22"/>
          <w:lang w:val="es-CL"/>
        </w:rPr>
      </w:pPr>
      <w:r w:rsidRPr="009B7CC5">
        <w:rPr>
          <w:sz w:val="22"/>
          <w:szCs w:val="22"/>
          <w:lang w:val="es-CL"/>
        </w:rPr>
        <w:t xml:space="preserve">La actualización de esta información se realizó mediante </w:t>
      </w:r>
      <w:r w:rsidR="009B7CC5" w:rsidRPr="009B7CC5">
        <w:rPr>
          <w:sz w:val="22"/>
          <w:szCs w:val="22"/>
          <w:lang w:val="es-CL"/>
        </w:rPr>
        <w:t xml:space="preserve">la </w:t>
      </w:r>
      <w:r w:rsidRPr="009B7CC5">
        <w:rPr>
          <w:sz w:val="22"/>
          <w:szCs w:val="22"/>
          <w:lang w:val="es-CL"/>
        </w:rPr>
        <w:t xml:space="preserve">búsqueda en las fuentes </w:t>
      </w:r>
      <w:r w:rsidR="00CD61BC" w:rsidRPr="009B7CC5">
        <w:rPr>
          <w:sz w:val="22"/>
          <w:szCs w:val="22"/>
          <w:lang w:val="es-CL"/>
        </w:rPr>
        <w:t>citadas</w:t>
      </w:r>
      <w:r w:rsidRPr="009B7CC5">
        <w:rPr>
          <w:sz w:val="22"/>
          <w:szCs w:val="22"/>
          <w:lang w:val="es-CL"/>
        </w:rPr>
        <w:t xml:space="preserve"> en cada uno de los capítulos del Perfil Químico así como con el apoyo y colaboración de distintos representantes de instituciones gubernamentales como los Ministerios de Medio Ambiente, de Salud, de Trabajo, Servicio Nacional de Aduanas y Organizaciones no gubernamentales</w:t>
      </w:r>
      <w:r w:rsidR="00806D26" w:rsidRPr="009B7CC5">
        <w:rPr>
          <w:sz w:val="22"/>
          <w:szCs w:val="22"/>
          <w:lang w:val="es-CL"/>
        </w:rPr>
        <w:t>,</w:t>
      </w:r>
      <w:r w:rsidRPr="009B7CC5">
        <w:rPr>
          <w:sz w:val="22"/>
          <w:szCs w:val="22"/>
          <w:lang w:val="es-CL"/>
        </w:rPr>
        <w:t xml:space="preserve"> mediante recopilación y entrega de datos e información de sus propios organismos en relación a las responsabilidades institucionales, capacidades administrativas</w:t>
      </w:r>
      <w:r w:rsidR="00806D26" w:rsidRPr="009B7CC5">
        <w:rPr>
          <w:sz w:val="22"/>
          <w:szCs w:val="22"/>
          <w:lang w:val="es-CL"/>
        </w:rPr>
        <w:t>, entre otros aspectos.</w:t>
      </w:r>
    </w:p>
    <w:p w:rsidR="001D2754" w:rsidRPr="009B7CC5" w:rsidRDefault="001D2754" w:rsidP="00872364">
      <w:pPr>
        <w:pStyle w:val="Heading3"/>
        <w:spacing w:line="264" w:lineRule="auto"/>
        <w:ind w:left="709"/>
        <w:rPr>
          <w:lang w:val="es-CL"/>
        </w:rPr>
      </w:pPr>
      <w:bookmarkStart w:id="89" w:name="_Toc418168890"/>
      <w:r w:rsidRPr="009B7CC5">
        <w:rPr>
          <w:lang w:val="es-CL"/>
        </w:rPr>
        <w:t>Producción, Importación, Exportación, Almacenamiento, Transporte, Uso y Disposición de Sustancias Químicas</w:t>
      </w:r>
      <w:bookmarkEnd w:id="89"/>
    </w:p>
    <w:p w:rsidR="00D70426" w:rsidRPr="009B7CC5" w:rsidRDefault="00D70426" w:rsidP="00606EAC">
      <w:pPr>
        <w:jc w:val="both"/>
      </w:pPr>
      <w:r w:rsidRPr="009B7CC5">
        <w:rPr>
          <w:sz w:val="22"/>
          <w:szCs w:val="22"/>
        </w:rPr>
        <w:t>En este punto, la información recopilada corresponde a datos entregados en Informes Anuales y Estadísticas de los últimos años, principalmente provenientes del Servicio Nacional de Aduanas y del Banco Central.</w:t>
      </w:r>
      <w:r w:rsidRPr="009B7CC5">
        <w:t xml:space="preserve"> </w:t>
      </w:r>
      <w:r w:rsidR="004F0761" w:rsidRPr="009B7CC5">
        <w:t>Lo</w:t>
      </w:r>
      <w:r w:rsidRPr="009B7CC5">
        <w:t xml:space="preserve"> relevante</w:t>
      </w:r>
      <w:r w:rsidR="004F0761" w:rsidRPr="009B7CC5">
        <w:t xml:space="preserve"> en este capítulo es</w:t>
      </w:r>
      <w:r w:rsidRPr="009B7CC5">
        <w:t xml:space="preserve"> identificar</w:t>
      </w:r>
      <w:r w:rsidR="002941D6" w:rsidRPr="009B7CC5">
        <w:t>, a grandes rasgos,</w:t>
      </w:r>
      <w:r w:rsidRPr="009B7CC5">
        <w:t xml:space="preserve"> cuáles son las principales sustancias químicas manejadas en el país, a nivel de producción, exportación e importación, así como también</w:t>
      </w:r>
      <w:r w:rsidR="004F0761" w:rsidRPr="009B7CC5">
        <w:t xml:space="preserve"> conocer</w:t>
      </w:r>
      <w:r w:rsidRPr="009B7CC5">
        <w:t xml:space="preserve"> cuáles son los socios comerciales más importantes de Chile, información que ayudará a verificar si son países y/o bloques que tienen o no implementado el GHS.</w:t>
      </w:r>
    </w:p>
    <w:p w:rsidR="00BB23BD" w:rsidRDefault="002D77CE" w:rsidP="00606EAC">
      <w:pPr>
        <w:jc w:val="both"/>
        <w:rPr>
          <w:sz w:val="22"/>
          <w:szCs w:val="22"/>
        </w:rPr>
      </w:pPr>
      <w:r w:rsidRPr="009B7CC5">
        <w:t xml:space="preserve">La industria manufacturera en Chile representa el 11,4% del </w:t>
      </w:r>
      <w:r w:rsidR="00226121" w:rsidRPr="009B7CC5">
        <w:rPr>
          <w:sz w:val="22"/>
          <w:szCs w:val="22"/>
        </w:rPr>
        <w:t xml:space="preserve">Producto Interno Bruto (PIB) </w:t>
      </w:r>
      <w:r w:rsidRPr="009B7CC5">
        <w:t xml:space="preserve">del año 2013. Dentro de esta industria, </w:t>
      </w:r>
      <w:bookmarkStart w:id="90" w:name="OLE_LINK13"/>
      <w:bookmarkStart w:id="91" w:name="OLE_LINK14"/>
      <w:r w:rsidR="00BB23BD" w:rsidRPr="009B7CC5">
        <w:rPr>
          <w:sz w:val="22"/>
          <w:szCs w:val="22"/>
        </w:rPr>
        <w:t>el sector Químico, Petróleo, Caucho y Plástico</w:t>
      </w:r>
      <w:bookmarkEnd w:id="90"/>
      <w:bookmarkEnd w:id="91"/>
      <w:r w:rsidR="00BB23BD" w:rsidRPr="009B7CC5">
        <w:rPr>
          <w:sz w:val="22"/>
          <w:szCs w:val="22"/>
        </w:rPr>
        <w:t>, que incluye los plaguicidas, fertilizantes, combustibles y sustancias químicas industriales, representa uno de los de mayor participación en el</w:t>
      </w:r>
      <w:r w:rsidR="00226121" w:rsidRPr="009B7CC5">
        <w:rPr>
          <w:sz w:val="22"/>
          <w:szCs w:val="22"/>
        </w:rPr>
        <w:t xml:space="preserve"> PIB</w:t>
      </w:r>
      <w:r w:rsidR="00BB23BD" w:rsidRPr="009B7CC5">
        <w:rPr>
          <w:sz w:val="22"/>
          <w:szCs w:val="22"/>
        </w:rPr>
        <w:t xml:space="preserve"> </w:t>
      </w:r>
      <w:r w:rsidRPr="009B7CC5">
        <w:rPr>
          <w:sz w:val="22"/>
          <w:szCs w:val="22"/>
        </w:rPr>
        <w:t xml:space="preserve">del país con un 21,7 </w:t>
      </w:r>
      <w:r w:rsidR="00BB23BD" w:rsidRPr="009B7CC5">
        <w:rPr>
          <w:sz w:val="22"/>
          <w:szCs w:val="22"/>
        </w:rPr>
        <w:t>%, mientras que el sector Minerales no metálicos y</w:t>
      </w:r>
      <w:r w:rsidRPr="009B7CC5">
        <w:rPr>
          <w:sz w:val="22"/>
          <w:szCs w:val="22"/>
        </w:rPr>
        <w:t xml:space="preserve"> Metales básicos </w:t>
      </w:r>
      <w:r w:rsidR="006D0FB7" w:rsidRPr="009B7CC5">
        <w:rPr>
          <w:sz w:val="22"/>
          <w:szCs w:val="22"/>
        </w:rPr>
        <w:t>representan</w:t>
      </w:r>
      <w:r w:rsidRPr="009B7CC5">
        <w:rPr>
          <w:sz w:val="22"/>
          <w:szCs w:val="22"/>
        </w:rPr>
        <w:t xml:space="preserve"> el 5</w:t>
      </w:r>
      <w:r w:rsidR="00BB23BD" w:rsidRPr="009B7CC5">
        <w:rPr>
          <w:sz w:val="22"/>
          <w:szCs w:val="22"/>
        </w:rPr>
        <w:t>%</w:t>
      </w:r>
      <w:r w:rsidR="00BB23BD" w:rsidRPr="009B7CC5">
        <w:rPr>
          <w:rStyle w:val="FootnoteReference"/>
          <w:sz w:val="22"/>
          <w:szCs w:val="22"/>
        </w:rPr>
        <w:footnoteReference w:id="16"/>
      </w:r>
      <w:r w:rsidR="00BB23BD" w:rsidRPr="009B7CC5">
        <w:rPr>
          <w:sz w:val="22"/>
          <w:szCs w:val="22"/>
        </w:rPr>
        <w:t>.</w:t>
      </w:r>
    </w:p>
    <w:p w:rsidR="00544D23" w:rsidRDefault="00066BEE" w:rsidP="00606EAC">
      <w:pPr>
        <w:jc w:val="both"/>
        <w:rPr>
          <w:sz w:val="22"/>
          <w:szCs w:val="22"/>
        </w:rPr>
      </w:pPr>
      <w:r>
        <w:rPr>
          <w:sz w:val="22"/>
          <w:szCs w:val="22"/>
        </w:rPr>
        <w:t>Respecto a la producción nacional de plaguicidas, tanto de uso agrícola como sanitario y doméstico, en Chile no se sintetizan los ingredientes activos de los plaguicidas y los procesos de fabricación se desarrollan desde la etapa de formulación en adelante, con excepción del fosfuro de aluminio y de magnesio (empresa DEGESCH Chile). Es por esta razón, que se considera que Chile no es un productor de plaguicidas y que el volumen de exportación corresponde sólo a productos formulados en el país.</w:t>
      </w:r>
    </w:p>
    <w:p w:rsidR="00FB4186" w:rsidRPr="009B7CC5" w:rsidRDefault="00FB4186" w:rsidP="00606EAC">
      <w:pPr>
        <w:autoSpaceDE w:val="0"/>
        <w:autoSpaceDN w:val="0"/>
        <w:adjustRightInd w:val="0"/>
        <w:jc w:val="both"/>
        <w:rPr>
          <w:rFonts w:cs="Arial"/>
          <w:color w:val="231F20"/>
          <w:kern w:val="0"/>
          <w:sz w:val="22"/>
          <w:szCs w:val="22"/>
          <w:lang w:val="es-ES"/>
        </w:rPr>
      </w:pPr>
      <w:r w:rsidRPr="009B7CC5">
        <w:rPr>
          <w:sz w:val="22"/>
          <w:szCs w:val="22"/>
        </w:rPr>
        <w:t xml:space="preserve">La producción de fertilizantes en Chile está concentrada en 5 empresas: </w:t>
      </w:r>
      <w:r w:rsidRPr="009B7CC5">
        <w:rPr>
          <w:rFonts w:cs="Arial"/>
          <w:color w:val="231F20"/>
          <w:kern w:val="0"/>
          <w:sz w:val="22"/>
          <w:szCs w:val="22"/>
          <w:lang w:val="es-ES"/>
        </w:rPr>
        <w:t>SQM y sus filiales, Sociedad Chilena del Litio (cloruro de potasio en el Salar de Atacama), ACF Minera (yodo y nitratos naturales), Quiborax (productos derivados del boro) y Cosayach (yodo y nitratos)</w:t>
      </w:r>
      <w:r w:rsidRPr="009B7CC5">
        <w:rPr>
          <w:rStyle w:val="FootnoteReference"/>
          <w:rFonts w:cs="Arial"/>
          <w:color w:val="231F20"/>
          <w:kern w:val="0"/>
          <w:sz w:val="22"/>
          <w:szCs w:val="22"/>
          <w:lang w:val="es-ES"/>
        </w:rPr>
        <w:footnoteReference w:id="17"/>
      </w:r>
      <w:r w:rsidRPr="009B7CC5">
        <w:rPr>
          <w:rFonts w:cs="Arial"/>
          <w:color w:val="231F20"/>
          <w:kern w:val="0"/>
          <w:sz w:val="22"/>
          <w:szCs w:val="22"/>
          <w:lang w:val="es-ES"/>
        </w:rPr>
        <w:t>.</w:t>
      </w:r>
    </w:p>
    <w:p w:rsidR="00FB4186" w:rsidRPr="009B7CC5" w:rsidRDefault="00FB4186" w:rsidP="00606EAC">
      <w:pPr>
        <w:jc w:val="both"/>
        <w:rPr>
          <w:sz w:val="22"/>
          <w:szCs w:val="22"/>
        </w:rPr>
      </w:pPr>
      <w:r w:rsidRPr="009B7CC5">
        <w:rPr>
          <w:sz w:val="22"/>
          <w:szCs w:val="22"/>
        </w:rPr>
        <w:t>La producción de recursos energéticos como carbón, gas natural, petróleo crudo y combustibles derivados de ellos proviene principalmente de las regiones</w:t>
      </w:r>
      <w:r w:rsidR="009B7CC5" w:rsidRPr="009B7CC5">
        <w:rPr>
          <w:sz w:val="22"/>
          <w:szCs w:val="22"/>
        </w:rPr>
        <w:t xml:space="preserve"> de</w:t>
      </w:r>
      <w:r w:rsidR="00BA549F">
        <w:rPr>
          <w:sz w:val="22"/>
          <w:szCs w:val="22"/>
        </w:rPr>
        <w:t>l</w:t>
      </w:r>
      <w:r w:rsidRPr="009B7CC5">
        <w:rPr>
          <w:sz w:val="22"/>
          <w:szCs w:val="22"/>
        </w:rPr>
        <w:t xml:space="preserve"> Biobío y </w:t>
      </w:r>
      <w:r w:rsidR="00BA549F">
        <w:rPr>
          <w:sz w:val="22"/>
          <w:szCs w:val="22"/>
        </w:rPr>
        <w:t xml:space="preserve">de </w:t>
      </w:r>
      <w:r w:rsidRPr="009B7CC5">
        <w:rPr>
          <w:sz w:val="22"/>
          <w:szCs w:val="22"/>
        </w:rPr>
        <w:t xml:space="preserve">Magallanes y se destina </w:t>
      </w:r>
      <w:r w:rsidR="002941D6" w:rsidRPr="009B7CC5">
        <w:rPr>
          <w:sz w:val="22"/>
          <w:szCs w:val="22"/>
        </w:rPr>
        <w:t>mayoritariamente</w:t>
      </w:r>
      <w:r w:rsidRPr="009B7CC5">
        <w:rPr>
          <w:sz w:val="22"/>
          <w:szCs w:val="22"/>
        </w:rPr>
        <w:t xml:space="preserve"> al consumo interno en el país. Respecto a la producción de minerales metálicos, ésta abarca los siguientes compuestos: cobre, molibdeno, oro, plata, hierro, plomo y zinc, mientras que en la minería no metálica se incluyen arcillas, carbonato de calcio, cloruro de sodio, compuestos de boro, de litio, de potasio, entre otros</w:t>
      </w:r>
      <w:r w:rsidRPr="009B7CC5">
        <w:rPr>
          <w:rStyle w:val="FootnoteReference"/>
          <w:sz w:val="22"/>
          <w:szCs w:val="22"/>
        </w:rPr>
        <w:footnoteReference w:id="18"/>
      </w:r>
      <w:r w:rsidRPr="009B7CC5">
        <w:rPr>
          <w:sz w:val="22"/>
          <w:szCs w:val="22"/>
        </w:rPr>
        <w:t>.</w:t>
      </w:r>
    </w:p>
    <w:p w:rsidR="00FB4186" w:rsidRPr="009B7CC5" w:rsidRDefault="00FB4186" w:rsidP="00606EAC">
      <w:pPr>
        <w:jc w:val="both"/>
        <w:rPr>
          <w:sz w:val="22"/>
          <w:szCs w:val="22"/>
        </w:rPr>
      </w:pPr>
      <w:r w:rsidRPr="009B7CC5">
        <w:rPr>
          <w:sz w:val="22"/>
          <w:szCs w:val="22"/>
        </w:rPr>
        <w:t>En el caso de productos químicos industriales, de acuerdo a datos manejados por la Asociación Gremial de Industriales Químicos de Chile, ASIQUIM, la industria química chilena está compuesta por más de 300 empresas que se dedican a la fabricación y distribución de más de 400 sustancias químicas de uso industrial</w:t>
      </w:r>
      <w:r w:rsidRPr="009B7CC5">
        <w:rPr>
          <w:rStyle w:val="FootnoteReference"/>
          <w:sz w:val="22"/>
          <w:szCs w:val="22"/>
        </w:rPr>
        <w:footnoteReference w:id="19"/>
      </w:r>
      <w:r w:rsidRPr="009B7CC5">
        <w:rPr>
          <w:sz w:val="22"/>
          <w:szCs w:val="22"/>
        </w:rPr>
        <w:t>.</w:t>
      </w:r>
    </w:p>
    <w:p w:rsidR="00AE24E0" w:rsidRPr="009B7CC5" w:rsidRDefault="00AE24E0" w:rsidP="00606EAC">
      <w:pPr>
        <w:jc w:val="both"/>
        <w:rPr>
          <w:sz w:val="22"/>
          <w:szCs w:val="22"/>
        </w:rPr>
      </w:pPr>
      <w:r w:rsidRPr="009B7CC5">
        <w:rPr>
          <w:sz w:val="22"/>
          <w:szCs w:val="22"/>
        </w:rPr>
        <w:t>En la siguiente tabla se presenta un resumen de las principales producciones de sustancias químicas para el año 2013. Mientras los datos de producción nacional de minerales y recursos energéticos son completos y detallados, para los productos químicos industriales</w:t>
      </w:r>
      <w:r w:rsidR="007D1C08" w:rsidRPr="009B7CC5">
        <w:rPr>
          <w:sz w:val="22"/>
          <w:szCs w:val="22"/>
        </w:rPr>
        <w:t>,</w:t>
      </w:r>
      <w:r w:rsidRPr="009B7CC5">
        <w:rPr>
          <w:sz w:val="22"/>
          <w:szCs w:val="22"/>
        </w:rPr>
        <w:t xml:space="preserve"> la ASIQUIM no cuenta con</w:t>
      </w:r>
      <w:r w:rsidR="00B47213" w:rsidRPr="009B7CC5">
        <w:rPr>
          <w:sz w:val="22"/>
          <w:szCs w:val="22"/>
        </w:rPr>
        <w:t xml:space="preserve"> el detalle de</w:t>
      </w:r>
      <w:r w:rsidRPr="009B7CC5">
        <w:rPr>
          <w:sz w:val="22"/>
          <w:szCs w:val="22"/>
        </w:rPr>
        <w:t xml:space="preserve"> esta información.</w:t>
      </w:r>
    </w:p>
    <w:p w:rsidR="00AE24E0" w:rsidRPr="009B7CC5" w:rsidRDefault="00AE24E0" w:rsidP="00606EAC">
      <w:pPr>
        <w:spacing w:after="0"/>
        <w:jc w:val="center"/>
        <w:rPr>
          <w:b/>
          <w:sz w:val="22"/>
          <w:szCs w:val="22"/>
          <w:lang w:val="es-ES"/>
        </w:rPr>
      </w:pPr>
      <w:r w:rsidRPr="009B7CC5">
        <w:rPr>
          <w:b/>
          <w:sz w:val="22"/>
          <w:szCs w:val="22"/>
          <w:lang w:val="es-ES"/>
        </w:rPr>
        <w:t xml:space="preserve">Tabla </w:t>
      </w:r>
      <w:r w:rsidR="00F13083">
        <w:rPr>
          <w:b/>
          <w:sz w:val="22"/>
          <w:szCs w:val="22"/>
          <w:lang w:val="es-ES"/>
        </w:rPr>
        <w:t>10</w:t>
      </w:r>
      <w:r w:rsidRPr="009B7CC5">
        <w:rPr>
          <w:b/>
          <w:sz w:val="22"/>
          <w:szCs w:val="22"/>
          <w:lang w:val="es-ES"/>
        </w:rPr>
        <w:t>.Resumen de producción de principales sustancias químicas en Chile año 2013</w:t>
      </w:r>
    </w:p>
    <w:tbl>
      <w:tblPr>
        <w:tblStyle w:val="Tabladelista3-nfasis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234"/>
        <w:gridCol w:w="2197"/>
        <w:gridCol w:w="2197"/>
      </w:tblGrid>
      <w:tr w:rsidR="00AE24E0" w:rsidRPr="009B7CC5" w:rsidTr="00AE24E0">
        <w:trPr>
          <w:cnfStyle w:val="100000000000" w:firstRow="1" w:lastRow="0" w:firstColumn="0" w:lastColumn="0" w:oddVBand="0" w:evenVBand="0" w:oddHBand="0" w:evenHBand="0" w:firstRowFirstColumn="0" w:firstRowLastColumn="0" w:lastRowFirstColumn="0" w:lastRowLastColumn="0"/>
          <w:trHeight w:val="391"/>
          <w:jc w:val="center"/>
        </w:trPr>
        <w:tc>
          <w:tcPr>
            <w:cnfStyle w:val="001000000100" w:firstRow="0" w:lastRow="0" w:firstColumn="1" w:lastColumn="0" w:oddVBand="0" w:evenVBand="0" w:oddHBand="0" w:evenHBand="0" w:firstRowFirstColumn="1" w:firstRowLastColumn="0" w:lastRowFirstColumn="0" w:lastRowLastColumn="0"/>
            <w:tcW w:w="4537" w:type="dxa"/>
            <w:gridSpan w:val="2"/>
          </w:tcPr>
          <w:p w:rsidR="00AE24E0" w:rsidRPr="009B7CC5" w:rsidRDefault="00AE24E0" w:rsidP="00606EAC">
            <w:pPr>
              <w:spacing w:after="0"/>
              <w:jc w:val="center"/>
              <w:rPr>
                <w:sz w:val="20"/>
                <w:lang w:val="es-ES"/>
              </w:rPr>
            </w:pPr>
            <w:r w:rsidRPr="009B7CC5">
              <w:rPr>
                <w:sz w:val="20"/>
                <w:lang w:val="es-ES"/>
              </w:rPr>
              <w:t>Productos</w:t>
            </w:r>
          </w:p>
        </w:tc>
        <w:tc>
          <w:tcPr>
            <w:tcW w:w="2197" w:type="dxa"/>
          </w:tcPr>
          <w:p w:rsidR="00AE24E0" w:rsidRPr="009B7CC5" w:rsidRDefault="00AE24E0" w:rsidP="00606EAC">
            <w:pPr>
              <w:spacing w:after="0"/>
              <w:jc w:val="center"/>
              <w:cnfStyle w:val="100000000000" w:firstRow="1" w:lastRow="0" w:firstColumn="0" w:lastColumn="0" w:oddVBand="0" w:evenVBand="0" w:oddHBand="0" w:evenHBand="0" w:firstRowFirstColumn="0" w:firstRowLastColumn="0" w:lastRowFirstColumn="0" w:lastRowLastColumn="0"/>
              <w:rPr>
                <w:sz w:val="20"/>
                <w:lang w:val="es-ES"/>
              </w:rPr>
            </w:pPr>
            <w:r w:rsidRPr="009B7CC5">
              <w:rPr>
                <w:sz w:val="20"/>
                <w:lang w:val="es-ES"/>
              </w:rPr>
              <w:t>Cantidad</w:t>
            </w:r>
          </w:p>
        </w:tc>
        <w:tc>
          <w:tcPr>
            <w:tcW w:w="2197" w:type="dxa"/>
          </w:tcPr>
          <w:p w:rsidR="00AE24E0" w:rsidRPr="009B7CC5" w:rsidRDefault="00AE24E0" w:rsidP="00606EAC">
            <w:pPr>
              <w:spacing w:after="0"/>
              <w:jc w:val="center"/>
              <w:cnfStyle w:val="100000000000" w:firstRow="1" w:lastRow="0" w:firstColumn="0" w:lastColumn="0" w:oddVBand="0" w:evenVBand="0" w:oddHBand="0" w:evenHBand="0" w:firstRowFirstColumn="0" w:firstRowLastColumn="0" w:lastRowFirstColumn="0" w:lastRowLastColumn="0"/>
              <w:rPr>
                <w:b w:val="0"/>
                <w:bCs w:val="0"/>
                <w:sz w:val="20"/>
                <w:lang w:val="es-ES"/>
              </w:rPr>
            </w:pPr>
            <w:r w:rsidRPr="009B7CC5">
              <w:rPr>
                <w:sz w:val="20"/>
                <w:lang w:val="es-ES"/>
              </w:rPr>
              <w:t>Unidad</w:t>
            </w:r>
          </w:p>
        </w:tc>
      </w:tr>
      <w:tr w:rsidR="00AE24E0" w:rsidRPr="009B7CC5" w:rsidTr="00AE24E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7" w:type="dxa"/>
            <w:gridSpan w:val="2"/>
            <w:tcBorders>
              <w:top w:val="none" w:sz="0" w:space="0" w:color="auto"/>
              <w:bottom w:val="none" w:sz="0" w:space="0" w:color="auto"/>
              <w:right w:val="none" w:sz="0" w:space="0" w:color="auto"/>
            </w:tcBorders>
          </w:tcPr>
          <w:p w:rsidR="00AE24E0" w:rsidRPr="009B7CC5" w:rsidRDefault="00AE24E0" w:rsidP="00606EAC">
            <w:pPr>
              <w:spacing w:after="0"/>
              <w:jc w:val="both"/>
              <w:rPr>
                <w:sz w:val="20"/>
                <w:lang w:val="es-ES"/>
              </w:rPr>
            </w:pPr>
            <w:r w:rsidRPr="009B7CC5">
              <w:rPr>
                <w:sz w:val="20"/>
                <w:lang w:val="es-ES"/>
              </w:rPr>
              <w:t>Plaguicidas</w:t>
            </w:r>
          </w:p>
        </w:tc>
        <w:tc>
          <w:tcPr>
            <w:tcW w:w="2197" w:type="dxa"/>
            <w:tcBorders>
              <w:top w:val="none" w:sz="0" w:space="0" w:color="auto"/>
              <w:bottom w:val="none" w:sz="0" w:space="0" w:color="auto"/>
            </w:tcBorders>
          </w:tcPr>
          <w:p w:rsidR="00AE24E0" w:rsidRPr="009B7CC5" w:rsidRDefault="00AE24E0"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~0</w:t>
            </w:r>
            <w:r w:rsidR="00A54739">
              <w:rPr>
                <w:sz w:val="20"/>
                <w:lang w:val="es-ES"/>
              </w:rPr>
              <w:t xml:space="preserve"> (</w:t>
            </w:r>
            <w:r w:rsidR="00A54739" w:rsidRPr="00DC01E2">
              <w:rPr>
                <w:i/>
                <w:sz w:val="20"/>
                <w:lang w:val="es-ES"/>
              </w:rPr>
              <w:t>nota 1</w:t>
            </w:r>
            <w:r w:rsidR="00A54739">
              <w:rPr>
                <w:sz w:val="20"/>
                <w:lang w:val="es-ES"/>
              </w:rPr>
              <w:t>)</w:t>
            </w:r>
          </w:p>
        </w:tc>
        <w:tc>
          <w:tcPr>
            <w:tcW w:w="2197" w:type="dxa"/>
            <w:tcBorders>
              <w:top w:val="none" w:sz="0" w:space="0" w:color="auto"/>
              <w:bottom w:val="none" w:sz="0" w:space="0" w:color="auto"/>
            </w:tcBorders>
          </w:tcPr>
          <w:p w:rsidR="00AE24E0" w:rsidRPr="009B7CC5" w:rsidRDefault="00AE24E0"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p>
        </w:tc>
      </w:tr>
      <w:tr w:rsidR="00AE24E0" w:rsidRPr="009B7CC5" w:rsidTr="00AE24E0">
        <w:trPr>
          <w:jc w:val="center"/>
        </w:trPr>
        <w:tc>
          <w:tcPr>
            <w:cnfStyle w:val="001000000000" w:firstRow="0" w:lastRow="0" w:firstColumn="1" w:lastColumn="0" w:oddVBand="0" w:evenVBand="0" w:oddHBand="0" w:evenHBand="0" w:firstRowFirstColumn="0" w:firstRowLastColumn="0" w:lastRowFirstColumn="0" w:lastRowLastColumn="0"/>
            <w:tcW w:w="4537" w:type="dxa"/>
            <w:gridSpan w:val="2"/>
            <w:tcBorders>
              <w:right w:val="none" w:sz="0" w:space="0" w:color="auto"/>
            </w:tcBorders>
          </w:tcPr>
          <w:p w:rsidR="00AE24E0" w:rsidRPr="009B7CC5" w:rsidRDefault="00AE24E0" w:rsidP="00606EAC">
            <w:pPr>
              <w:spacing w:after="0"/>
              <w:rPr>
                <w:sz w:val="20"/>
                <w:vertAlign w:val="superscript"/>
                <w:lang w:val="es-ES"/>
              </w:rPr>
            </w:pPr>
            <w:r w:rsidRPr="009B7CC5">
              <w:rPr>
                <w:sz w:val="20"/>
                <w:lang w:val="es-ES"/>
              </w:rPr>
              <w:t>Fertilizantes</w:t>
            </w:r>
            <w:r w:rsidR="00545ADC" w:rsidRPr="009B7CC5">
              <w:rPr>
                <w:sz w:val="20"/>
                <w:vertAlign w:val="superscript"/>
                <w:lang w:val="es-ES"/>
              </w:rPr>
              <w:t>1</w:t>
            </w:r>
          </w:p>
        </w:tc>
        <w:tc>
          <w:tcPr>
            <w:tcW w:w="2197" w:type="dxa"/>
          </w:tcPr>
          <w:p w:rsidR="00AE24E0" w:rsidRPr="009B7CC5" w:rsidRDefault="00AE24E0"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2.660.599</w:t>
            </w:r>
            <w:r w:rsidR="00545ADC" w:rsidRPr="009B7CC5">
              <w:rPr>
                <w:sz w:val="20"/>
                <w:lang w:val="es-ES"/>
              </w:rPr>
              <w:t xml:space="preserve"> </w:t>
            </w:r>
            <w:r w:rsidR="00A54739">
              <w:rPr>
                <w:i/>
                <w:sz w:val="20"/>
                <w:lang w:val="es-ES"/>
              </w:rPr>
              <w:t>(nota 2</w:t>
            </w:r>
            <w:r w:rsidR="00545ADC" w:rsidRPr="009B7CC5">
              <w:rPr>
                <w:i/>
                <w:sz w:val="20"/>
                <w:lang w:val="es-ES"/>
              </w:rPr>
              <w:t>)</w:t>
            </w:r>
          </w:p>
        </w:tc>
        <w:tc>
          <w:tcPr>
            <w:tcW w:w="2197" w:type="dxa"/>
          </w:tcPr>
          <w:p w:rsidR="00AE24E0" w:rsidRPr="009B7CC5" w:rsidRDefault="00AE24E0"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TM</w:t>
            </w:r>
          </w:p>
        </w:tc>
      </w:tr>
      <w:tr w:rsidR="00AE24E0" w:rsidRPr="009B7CC5" w:rsidTr="00AE24E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7" w:type="dxa"/>
            <w:gridSpan w:val="2"/>
            <w:tcBorders>
              <w:top w:val="none" w:sz="0" w:space="0" w:color="auto"/>
              <w:bottom w:val="none" w:sz="0" w:space="0" w:color="auto"/>
              <w:right w:val="none" w:sz="0" w:space="0" w:color="auto"/>
            </w:tcBorders>
          </w:tcPr>
          <w:p w:rsidR="00AE24E0" w:rsidRPr="009B7CC5" w:rsidRDefault="00AE24E0" w:rsidP="00606EAC">
            <w:pPr>
              <w:spacing w:after="0"/>
              <w:jc w:val="both"/>
              <w:rPr>
                <w:sz w:val="20"/>
                <w:vertAlign w:val="superscript"/>
                <w:lang w:val="es-ES"/>
              </w:rPr>
            </w:pPr>
            <w:r w:rsidRPr="009B7CC5">
              <w:rPr>
                <w:sz w:val="20"/>
                <w:lang w:val="es-ES"/>
              </w:rPr>
              <w:t>Carbón</w:t>
            </w:r>
            <w:r w:rsidR="00545ADC" w:rsidRPr="009B7CC5">
              <w:rPr>
                <w:sz w:val="20"/>
                <w:vertAlign w:val="superscript"/>
                <w:lang w:val="es-ES"/>
              </w:rPr>
              <w:t>1</w:t>
            </w:r>
          </w:p>
        </w:tc>
        <w:tc>
          <w:tcPr>
            <w:tcW w:w="2197" w:type="dxa"/>
            <w:tcBorders>
              <w:top w:val="none" w:sz="0" w:space="0" w:color="auto"/>
              <w:bottom w:val="none" w:sz="0" w:space="0" w:color="auto"/>
            </w:tcBorders>
          </w:tcPr>
          <w:p w:rsidR="00AE24E0" w:rsidRPr="009B7CC5" w:rsidRDefault="00AE24E0"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2.902.444</w:t>
            </w:r>
          </w:p>
        </w:tc>
        <w:tc>
          <w:tcPr>
            <w:tcW w:w="2197" w:type="dxa"/>
            <w:tcBorders>
              <w:top w:val="none" w:sz="0" w:space="0" w:color="auto"/>
              <w:bottom w:val="none" w:sz="0" w:space="0" w:color="auto"/>
            </w:tcBorders>
          </w:tcPr>
          <w:p w:rsidR="00AE24E0" w:rsidRPr="009B7CC5" w:rsidRDefault="00AE24E0"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TM</w:t>
            </w:r>
          </w:p>
        </w:tc>
      </w:tr>
      <w:tr w:rsidR="00AE24E0" w:rsidRPr="009B7CC5" w:rsidTr="00AE24E0">
        <w:trPr>
          <w:jc w:val="center"/>
        </w:trPr>
        <w:tc>
          <w:tcPr>
            <w:cnfStyle w:val="001000000000" w:firstRow="0" w:lastRow="0" w:firstColumn="1" w:lastColumn="0" w:oddVBand="0" w:evenVBand="0" w:oddHBand="0" w:evenHBand="0" w:firstRowFirstColumn="0" w:firstRowLastColumn="0" w:lastRowFirstColumn="0" w:lastRowLastColumn="0"/>
            <w:tcW w:w="4537" w:type="dxa"/>
            <w:gridSpan w:val="2"/>
            <w:tcBorders>
              <w:right w:val="none" w:sz="0" w:space="0" w:color="auto"/>
            </w:tcBorders>
          </w:tcPr>
          <w:p w:rsidR="00AE24E0" w:rsidRPr="009B7CC5" w:rsidRDefault="00AE24E0" w:rsidP="00606EAC">
            <w:pPr>
              <w:spacing w:after="0"/>
              <w:jc w:val="both"/>
              <w:rPr>
                <w:sz w:val="20"/>
                <w:vertAlign w:val="superscript"/>
                <w:lang w:val="es-ES"/>
              </w:rPr>
            </w:pPr>
            <w:r w:rsidRPr="009B7CC5">
              <w:rPr>
                <w:sz w:val="20"/>
                <w:lang w:val="es-ES"/>
              </w:rPr>
              <w:t>Gas Natural</w:t>
            </w:r>
            <w:r w:rsidR="00545ADC" w:rsidRPr="009B7CC5">
              <w:rPr>
                <w:sz w:val="20"/>
                <w:vertAlign w:val="superscript"/>
                <w:lang w:val="es-ES"/>
              </w:rPr>
              <w:t>1</w:t>
            </w:r>
          </w:p>
        </w:tc>
        <w:tc>
          <w:tcPr>
            <w:tcW w:w="2197" w:type="dxa"/>
          </w:tcPr>
          <w:p w:rsidR="00AE24E0" w:rsidRPr="009B7CC5" w:rsidRDefault="00AE24E0"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893.433.000</w:t>
            </w:r>
          </w:p>
        </w:tc>
        <w:tc>
          <w:tcPr>
            <w:tcW w:w="2197" w:type="dxa"/>
          </w:tcPr>
          <w:p w:rsidR="00AE24E0" w:rsidRPr="009B7CC5" w:rsidRDefault="00AE24E0" w:rsidP="00606EAC">
            <w:pPr>
              <w:spacing w:after="0"/>
              <w:jc w:val="center"/>
              <w:cnfStyle w:val="000000000000" w:firstRow="0" w:lastRow="0" w:firstColumn="0" w:lastColumn="0" w:oddVBand="0" w:evenVBand="0" w:oddHBand="0" w:evenHBand="0" w:firstRowFirstColumn="0" w:firstRowLastColumn="0" w:lastRowFirstColumn="0" w:lastRowLastColumn="0"/>
              <w:rPr>
                <w:sz w:val="20"/>
                <w:vertAlign w:val="superscript"/>
                <w:lang w:val="es-ES"/>
              </w:rPr>
            </w:pPr>
            <w:r w:rsidRPr="009B7CC5">
              <w:rPr>
                <w:sz w:val="20"/>
                <w:lang w:val="es-ES"/>
              </w:rPr>
              <w:t>m</w:t>
            </w:r>
            <w:r w:rsidRPr="009B7CC5">
              <w:rPr>
                <w:sz w:val="20"/>
                <w:vertAlign w:val="superscript"/>
                <w:lang w:val="es-ES"/>
              </w:rPr>
              <w:t>3</w:t>
            </w:r>
          </w:p>
        </w:tc>
      </w:tr>
      <w:tr w:rsidR="00AE24E0" w:rsidRPr="009B7CC5" w:rsidTr="00AE24E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7" w:type="dxa"/>
            <w:gridSpan w:val="2"/>
            <w:tcBorders>
              <w:top w:val="none" w:sz="0" w:space="0" w:color="auto"/>
              <w:bottom w:val="none" w:sz="0" w:space="0" w:color="auto"/>
              <w:right w:val="none" w:sz="0" w:space="0" w:color="auto"/>
            </w:tcBorders>
          </w:tcPr>
          <w:p w:rsidR="00AE24E0" w:rsidRPr="009B7CC5" w:rsidRDefault="00AE24E0" w:rsidP="00606EAC">
            <w:pPr>
              <w:spacing w:after="0"/>
              <w:jc w:val="both"/>
              <w:rPr>
                <w:sz w:val="20"/>
                <w:vertAlign w:val="superscript"/>
                <w:lang w:val="es-ES"/>
              </w:rPr>
            </w:pPr>
            <w:r w:rsidRPr="009B7CC5">
              <w:rPr>
                <w:sz w:val="20"/>
                <w:lang w:val="es-ES"/>
              </w:rPr>
              <w:t>Petróleo crudo</w:t>
            </w:r>
            <w:r w:rsidR="00545ADC" w:rsidRPr="009B7CC5">
              <w:rPr>
                <w:sz w:val="20"/>
                <w:vertAlign w:val="superscript"/>
                <w:lang w:val="es-ES"/>
              </w:rPr>
              <w:t>1</w:t>
            </w:r>
          </w:p>
        </w:tc>
        <w:tc>
          <w:tcPr>
            <w:tcW w:w="2197" w:type="dxa"/>
            <w:tcBorders>
              <w:top w:val="none" w:sz="0" w:space="0" w:color="auto"/>
              <w:bottom w:val="none" w:sz="0" w:space="0" w:color="auto"/>
            </w:tcBorders>
          </w:tcPr>
          <w:p w:rsidR="00AE24E0" w:rsidRPr="009B7CC5" w:rsidRDefault="00AE24E0"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401.428</w:t>
            </w:r>
          </w:p>
        </w:tc>
        <w:tc>
          <w:tcPr>
            <w:tcW w:w="2197" w:type="dxa"/>
            <w:tcBorders>
              <w:top w:val="none" w:sz="0" w:space="0" w:color="auto"/>
              <w:bottom w:val="none" w:sz="0" w:space="0" w:color="auto"/>
            </w:tcBorders>
          </w:tcPr>
          <w:p w:rsidR="00AE24E0" w:rsidRPr="009B7CC5" w:rsidRDefault="00AE24E0"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m</w:t>
            </w:r>
            <w:r w:rsidRPr="009B7CC5">
              <w:rPr>
                <w:sz w:val="20"/>
                <w:vertAlign w:val="superscript"/>
                <w:lang w:val="es-ES"/>
              </w:rPr>
              <w:t>3</w:t>
            </w:r>
          </w:p>
        </w:tc>
      </w:tr>
      <w:tr w:rsidR="00AE24E0" w:rsidRPr="009B7CC5" w:rsidTr="00AE24E0">
        <w:trPr>
          <w:jc w:val="center"/>
        </w:trPr>
        <w:tc>
          <w:tcPr>
            <w:cnfStyle w:val="001000000000" w:firstRow="0" w:lastRow="0" w:firstColumn="1" w:lastColumn="0" w:oddVBand="0" w:evenVBand="0" w:oddHBand="0" w:evenHBand="0" w:firstRowFirstColumn="0" w:firstRowLastColumn="0" w:lastRowFirstColumn="0" w:lastRowLastColumn="0"/>
            <w:tcW w:w="4537" w:type="dxa"/>
            <w:gridSpan w:val="2"/>
            <w:tcBorders>
              <w:right w:val="none" w:sz="0" w:space="0" w:color="auto"/>
            </w:tcBorders>
          </w:tcPr>
          <w:p w:rsidR="00AE24E0" w:rsidRPr="009B7CC5" w:rsidRDefault="00AE24E0" w:rsidP="00606EAC">
            <w:pPr>
              <w:spacing w:after="0"/>
              <w:jc w:val="both"/>
              <w:rPr>
                <w:sz w:val="20"/>
                <w:vertAlign w:val="superscript"/>
                <w:lang w:val="es-ES"/>
              </w:rPr>
            </w:pPr>
            <w:r w:rsidRPr="009B7CC5">
              <w:rPr>
                <w:sz w:val="20"/>
                <w:lang w:val="es-ES"/>
              </w:rPr>
              <w:t>Combustibles derivados del petróleo</w:t>
            </w:r>
            <w:r w:rsidR="00545ADC" w:rsidRPr="009B7CC5">
              <w:rPr>
                <w:sz w:val="20"/>
                <w:vertAlign w:val="superscript"/>
                <w:lang w:val="es-ES"/>
              </w:rPr>
              <w:t>2</w:t>
            </w:r>
          </w:p>
        </w:tc>
        <w:tc>
          <w:tcPr>
            <w:tcW w:w="2197" w:type="dxa"/>
          </w:tcPr>
          <w:p w:rsidR="00AE24E0" w:rsidRPr="009B7CC5" w:rsidRDefault="00AE24E0"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11.346.000</w:t>
            </w:r>
          </w:p>
        </w:tc>
        <w:tc>
          <w:tcPr>
            <w:tcW w:w="2197" w:type="dxa"/>
          </w:tcPr>
          <w:p w:rsidR="00AE24E0" w:rsidRPr="009B7CC5" w:rsidRDefault="00AE24E0"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m</w:t>
            </w:r>
            <w:r w:rsidRPr="009B7CC5">
              <w:rPr>
                <w:sz w:val="20"/>
                <w:vertAlign w:val="superscript"/>
                <w:lang w:val="es-ES"/>
              </w:rPr>
              <w:t>3</w:t>
            </w:r>
          </w:p>
        </w:tc>
      </w:tr>
      <w:tr w:rsidR="00AE24E0" w:rsidRPr="009B7CC5" w:rsidTr="00AE24E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7" w:type="dxa"/>
            <w:gridSpan w:val="2"/>
            <w:tcBorders>
              <w:top w:val="none" w:sz="0" w:space="0" w:color="auto"/>
              <w:bottom w:val="none" w:sz="0" w:space="0" w:color="auto"/>
              <w:right w:val="none" w:sz="0" w:space="0" w:color="auto"/>
            </w:tcBorders>
          </w:tcPr>
          <w:p w:rsidR="00AE24E0" w:rsidRPr="009B7CC5" w:rsidRDefault="00AE24E0" w:rsidP="00606EAC">
            <w:pPr>
              <w:spacing w:after="0"/>
              <w:jc w:val="both"/>
              <w:rPr>
                <w:sz w:val="20"/>
                <w:lang w:val="es-ES"/>
              </w:rPr>
            </w:pPr>
            <w:r w:rsidRPr="009B7CC5">
              <w:rPr>
                <w:sz w:val="20"/>
                <w:lang w:val="es-ES"/>
              </w:rPr>
              <w:t>Sustancias Químicas Industriales</w:t>
            </w:r>
          </w:p>
        </w:tc>
        <w:tc>
          <w:tcPr>
            <w:tcW w:w="2197" w:type="dxa"/>
            <w:tcBorders>
              <w:top w:val="none" w:sz="0" w:space="0" w:color="auto"/>
              <w:bottom w:val="none" w:sz="0" w:space="0" w:color="auto"/>
            </w:tcBorders>
          </w:tcPr>
          <w:p w:rsidR="00AE24E0" w:rsidRPr="009B7CC5" w:rsidRDefault="00B00CBA"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s/i</w:t>
            </w:r>
          </w:p>
        </w:tc>
        <w:tc>
          <w:tcPr>
            <w:tcW w:w="2197" w:type="dxa"/>
            <w:tcBorders>
              <w:top w:val="none" w:sz="0" w:space="0" w:color="auto"/>
              <w:bottom w:val="none" w:sz="0" w:space="0" w:color="auto"/>
            </w:tcBorders>
          </w:tcPr>
          <w:p w:rsidR="00AE24E0" w:rsidRPr="009B7CC5" w:rsidRDefault="00AE24E0"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p>
        </w:tc>
      </w:tr>
      <w:tr w:rsidR="00AE24E0" w:rsidRPr="009B7CC5" w:rsidTr="00AE24E0">
        <w:trPr>
          <w:jc w:val="center"/>
        </w:trPr>
        <w:tc>
          <w:tcPr>
            <w:cnfStyle w:val="001000000000" w:firstRow="0" w:lastRow="0" w:firstColumn="1" w:lastColumn="0" w:oddVBand="0" w:evenVBand="0" w:oddHBand="0" w:evenHBand="0" w:firstRowFirstColumn="0" w:firstRowLastColumn="0" w:lastRowFirstColumn="0" w:lastRowLastColumn="0"/>
            <w:tcW w:w="2303" w:type="dxa"/>
            <w:vMerge w:val="restart"/>
            <w:tcBorders>
              <w:right w:val="none" w:sz="0" w:space="0" w:color="auto"/>
            </w:tcBorders>
          </w:tcPr>
          <w:p w:rsidR="00AE24E0" w:rsidRPr="009B7CC5" w:rsidRDefault="00AE24E0" w:rsidP="00606EAC">
            <w:pPr>
              <w:spacing w:after="0"/>
              <w:rPr>
                <w:sz w:val="20"/>
                <w:vertAlign w:val="superscript"/>
                <w:lang w:val="es-ES"/>
              </w:rPr>
            </w:pPr>
            <w:r w:rsidRPr="009B7CC5">
              <w:rPr>
                <w:sz w:val="20"/>
                <w:lang w:val="es-ES"/>
              </w:rPr>
              <w:t>Productos Minerales Metálicos</w:t>
            </w:r>
            <w:r w:rsidR="00F82EA8" w:rsidRPr="009B7CC5">
              <w:rPr>
                <w:sz w:val="20"/>
                <w:vertAlign w:val="superscript"/>
                <w:lang w:val="es-ES"/>
              </w:rPr>
              <w:t>1</w:t>
            </w:r>
          </w:p>
        </w:tc>
        <w:tc>
          <w:tcPr>
            <w:tcW w:w="2234" w:type="dxa"/>
          </w:tcPr>
          <w:p w:rsidR="00AE24E0" w:rsidRPr="009B7CC5" w:rsidRDefault="00AE24E0" w:rsidP="00606EAC">
            <w:pPr>
              <w:spacing w:after="0"/>
              <w:jc w:val="both"/>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Hierro</w:t>
            </w:r>
          </w:p>
        </w:tc>
        <w:tc>
          <w:tcPr>
            <w:tcW w:w="2197" w:type="dxa"/>
          </w:tcPr>
          <w:p w:rsidR="00AE24E0" w:rsidRPr="009B7CC5" w:rsidRDefault="00AE24E0"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9.088.</w:t>
            </w:r>
            <w:r w:rsidR="00CE441C" w:rsidRPr="009B7CC5">
              <w:rPr>
                <w:sz w:val="20"/>
                <w:lang w:val="es-ES"/>
              </w:rPr>
              <w:t>345</w:t>
            </w:r>
          </w:p>
        </w:tc>
        <w:tc>
          <w:tcPr>
            <w:tcW w:w="2197" w:type="dxa"/>
          </w:tcPr>
          <w:p w:rsidR="00AE24E0" w:rsidRPr="009B7CC5" w:rsidRDefault="00AE24E0"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TMF</w:t>
            </w:r>
          </w:p>
        </w:tc>
      </w:tr>
      <w:tr w:rsidR="00AE24E0" w:rsidRPr="009B7CC5" w:rsidTr="00AE24E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03" w:type="dxa"/>
            <w:vMerge/>
            <w:tcBorders>
              <w:top w:val="none" w:sz="0" w:space="0" w:color="auto"/>
              <w:bottom w:val="none" w:sz="0" w:space="0" w:color="auto"/>
              <w:right w:val="none" w:sz="0" w:space="0" w:color="auto"/>
            </w:tcBorders>
          </w:tcPr>
          <w:p w:rsidR="00AE24E0" w:rsidRPr="009B7CC5" w:rsidRDefault="00AE24E0" w:rsidP="00606EAC">
            <w:pPr>
              <w:spacing w:after="0"/>
              <w:jc w:val="both"/>
              <w:rPr>
                <w:sz w:val="20"/>
                <w:lang w:val="es-ES"/>
              </w:rPr>
            </w:pPr>
          </w:p>
        </w:tc>
        <w:tc>
          <w:tcPr>
            <w:tcW w:w="2234" w:type="dxa"/>
            <w:tcBorders>
              <w:top w:val="none" w:sz="0" w:space="0" w:color="auto"/>
              <w:bottom w:val="none" w:sz="0" w:space="0" w:color="auto"/>
            </w:tcBorders>
          </w:tcPr>
          <w:p w:rsidR="00AE24E0" w:rsidRPr="009B7CC5" w:rsidRDefault="00AE24E0" w:rsidP="00606EAC">
            <w:pPr>
              <w:spacing w:after="0"/>
              <w:jc w:val="both"/>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Cobre</w:t>
            </w:r>
          </w:p>
        </w:tc>
        <w:tc>
          <w:tcPr>
            <w:tcW w:w="2197" w:type="dxa"/>
            <w:tcBorders>
              <w:top w:val="none" w:sz="0" w:space="0" w:color="auto"/>
              <w:bottom w:val="none" w:sz="0" w:space="0" w:color="auto"/>
            </w:tcBorders>
          </w:tcPr>
          <w:p w:rsidR="00AE24E0" w:rsidRPr="009B7CC5" w:rsidRDefault="00AE24E0"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5.851.120</w:t>
            </w:r>
          </w:p>
        </w:tc>
        <w:tc>
          <w:tcPr>
            <w:tcW w:w="2197" w:type="dxa"/>
            <w:tcBorders>
              <w:top w:val="none" w:sz="0" w:space="0" w:color="auto"/>
              <w:bottom w:val="none" w:sz="0" w:space="0" w:color="auto"/>
            </w:tcBorders>
          </w:tcPr>
          <w:p w:rsidR="00AE24E0" w:rsidRPr="009B7CC5" w:rsidRDefault="00AE24E0"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TMF</w:t>
            </w:r>
          </w:p>
        </w:tc>
      </w:tr>
      <w:tr w:rsidR="00AE24E0" w:rsidRPr="009B7CC5" w:rsidTr="00AE24E0">
        <w:trPr>
          <w:jc w:val="center"/>
        </w:trPr>
        <w:tc>
          <w:tcPr>
            <w:cnfStyle w:val="001000000000" w:firstRow="0" w:lastRow="0" w:firstColumn="1" w:lastColumn="0" w:oddVBand="0" w:evenVBand="0" w:oddHBand="0" w:evenHBand="0" w:firstRowFirstColumn="0" w:firstRowLastColumn="0" w:lastRowFirstColumn="0" w:lastRowLastColumn="0"/>
            <w:tcW w:w="2303" w:type="dxa"/>
            <w:vMerge/>
            <w:tcBorders>
              <w:right w:val="none" w:sz="0" w:space="0" w:color="auto"/>
            </w:tcBorders>
          </w:tcPr>
          <w:p w:rsidR="00AE24E0" w:rsidRPr="009B7CC5" w:rsidRDefault="00AE24E0" w:rsidP="00606EAC">
            <w:pPr>
              <w:spacing w:after="0"/>
              <w:jc w:val="both"/>
              <w:rPr>
                <w:sz w:val="20"/>
                <w:lang w:val="es-ES"/>
              </w:rPr>
            </w:pPr>
          </w:p>
        </w:tc>
        <w:tc>
          <w:tcPr>
            <w:tcW w:w="2234" w:type="dxa"/>
          </w:tcPr>
          <w:p w:rsidR="00AE24E0" w:rsidRPr="009B7CC5" w:rsidRDefault="00AE24E0" w:rsidP="00606EAC">
            <w:pPr>
              <w:spacing w:after="0"/>
              <w:jc w:val="both"/>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Molibdeno</w:t>
            </w:r>
          </w:p>
        </w:tc>
        <w:tc>
          <w:tcPr>
            <w:tcW w:w="2197" w:type="dxa"/>
          </w:tcPr>
          <w:p w:rsidR="00AE24E0" w:rsidRPr="009B7CC5" w:rsidRDefault="00AE24E0"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38.433</w:t>
            </w:r>
          </w:p>
        </w:tc>
        <w:tc>
          <w:tcPr>
            <w:tcW w:w="2197" w:type="dxa"/>
          </w:tcPr>
          <w:p w:rsidR="00AE24E0" w:rsidRPr="009B7CC5" w:rsidRDefault="00AE24E0"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TMF</w:t>
            </w:r>
          </w:p>
        </w:tc>
      </w:tr>
      <w:tr w:rsidR="00AE24E0" w:rsidRPr="009B7CC5" w:rsidTr="00AE24E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03" w:type="dxa"/>
            <w:vMerge/>
            <w:tcBorders>
              <w:top w:val="none" w:sz="0" w:space="0" w:color="auto"/>
              <w:bottom w:val="none" w:sz="0" w:space="0" w:color="auto"/>
              <w:right w:val="none" w:sz="0" w:space="0" w:color="auto"/>
            </w:tcBorders>
          </w:tcPr>
          <w:p w:rsidR="00AE24E0" w:rsidRPr="009B7CC5" w:rsidRDefault="00AE24E0" w:rsidP="00606EAC">
            <w:pPr>
              <w:spacing w:after="0"/>
              <w:jc w:val="both"/>
              <w:rPr>
                <w:sz w:val="20"/>
                <w:lang w:val="es-ES"/>
              </w:rPr>
            </w:pPr>
          </w:p>
        </w:tc>
        <w:tc>
          <w:tcPr>
            <w:tcW w:w="2234" w:type="dxa"/>
            <w:tcBorders>
              <w:top w:val="none" w:sz="0" w:space="0" w:color="auto"/>
              <w:bottom w:val="none" w:sz="0" w:space="0" w:color="auto"/>
            </w:tcBorders>
          </w:tcPr>
          <w:p w:rsidR="00AE24E0" w:rsidRPr="009B7CC5" w:rsidRDefault="00AE24E0" w:rsidP="00606EAC">
            <w:pPr>
              <w:spacing w:after="0"/>
              <w:jc w:val="both"/>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Zinc</w:t>
            </w:r>
          </w:p>
        </w:tc>
        <w:tc>
          <w:tcPr>
            <w:tcW w:w="2197" w:type="dxa"/>
            <w:tcBorders>
              <w:top w:val="none" w:sz="0" w:space="0" w:color="auto"/>
              <w:bottom w:val="none" w:sz="0" w:space="0" w:color="auto"/>
            </w:tcBorders>
          </w:tcPr>
          <w:p w:rsidR="00AE24E0" w:rsidRPr="009B7CC5" w:rsidRDefault="00AE24E0"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29.759</w:t>
            </w:r>
          </w:p>
        </w:tc>
        <w:tc>
          <w:tcPr>
            <w:tcW w:w="2197" w:type="dxa"/>
            <w:tcBorders>
              <w:top w:val="none" w:sz="0" w:space="0" w:color="auto"/>
              <w:bottom w:val="none" w:sz="0" w:space="0" w:color="auto"/>
            </w:tcBorders>
          </w:tcPr>
          <w:p w:rsidR="00AE24E0" w:rsidRPr="009B7CC5" w:rsidRDefault="00AE24E0"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TMF</w:t>
            </w:r>
          </w:p>
        </w:tc>
      </w:tr>
      <w:tr w:rsidR="00AE24E0" w:rsidRPr="009B7CC5" w:rsidTr="00AE24E0">
        <w:trPr>
          <w:jc w:val="center"/>
        </w:trPr>
        <w:tc>
          <w:tcPr>
            <w:cnfStyle w:val="001000000000" w:firstRow="0" w:lastRow="0" w:firstColumn="1" w:lastColumn="0" w:oddVBand="0" w:evenVBand="0" w:oddHBand="0" w:evenHBand="0" w:firstRowFirstColumn="0" w:firstRowLastColumn="0" w:lastRowFirstColumn="0" w:lastRowLastColumn="0"/>
            <w:tcW w:w="2303" w:type="dxa"/>
            <w:vMerge/>
            <w:tcBorders>
              <w:right w:val="none" w:sz="0" w:space="0" w:color="auto"/>
            </w:tcBorders>
          </w:tcPr>
          <w:p w:rsidR="00AE24E0" w:rsidRPr="009B7CC5" w:rsidRDefault="00AE24E0" w:rsidP="00606EAC">
            <w:pPr>
              <w:spacing w:after="0"/>
              <w:jc w:val="both"/>
              <w:rPr>
                <w:sz w:val="20"/>
                <w:lang w:val="es-ES"/>
              </w:rPr>
            </w:pPr>
          </w:p>
        </w:tc>
        <w:tc>
          <w:tcPr>
            <w:tcW w:w="2234" w:type="dxa"/>
          </w:tcPr>
          <w:p w:rsidR="00AE24E0" w:rsidRPr="009B7CC5" w:rsidRDefault="00AE24E0" w:rsidP="00606EAC">
            <w:pPr>
              <w:spacing w:after="0"/>
              <w:jc w:val="both"/>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Plata</w:t>
            </w:r>
          </w:p>
        </w:tc>
        <w:tc>
          <w:tcPr>
            <w:tcW w:w="2197" w:type="dxa"/>
          </w:tcPr>
          <w:p w:rsidR="00AE24E0" w:rsidRPr="009B7CC5" w:rsidRDefault="00AE24E0"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1.173,8</w:t>
            </w:r>
          </w:p>
        </w:tc>
        <w:tc>
          <w:tcPr>
            <w:tcW w:w="2197" w:type="dxa"/>
          </w:tcPr>
          <w:p w:rsidR="00AE24E0" w:rsidRPr="009B7CC5" w:rsidRDefault="00AE24E0"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TMF</w:t>
            </w:r>
          </w:p>
        </w:tc>
      </w:tr>
      <w:tr w:rsidR="00AE24E0" w:rsidRPr="009B7CC5" w:rsidTr="00AE24E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03" w:type="dxa"/>
            <w:vMerge/>
            <w:tcBorders>
              <w:top w:val="none" w:sz="0" w:space="0" w:color="auto"/>
              <w:bottom w:val="none" w:sz="0" w:space="0" w:color="auto"/>
              <w:right w:val="none" w:sz="0" w:space="0" w:color="auto"/>
            </w:tcBorders>
          </w:tcPr>
          <w:p w:rsidR="00AE24E0" w:rsidRPr="009B7CC5" w:rsidRDefault="00AE24E0" w:rsidP="00606EAC">
            <w:pPr>
              <w:spacing w:after="0"/>
              <w:jc w:val="both"/>
              <w:rPr>
                <w:sz w:val="20"/>
                <w:lang w:val="es-ES"/>
              </w:rPr>
            </w:pPr>
          </w:p>
        </w:tc>
        <w:tc>
          <w:tcPr>
            <w:tcW w:w="2234" w:type="dxa"/>
            <w:tcBorders>
              <w:top w:val="none" w:sz="0" w:space="0" w:color="auto"/>
              <w:bottom w:val="none" w:sz="0" w:space="0" w:color="auto"/>
            </w:tcBorders>
          </w:tcPr>
          <w:p w:rsidR="00AE24E0" w:rsidRPr="009B7CC5" w:rsidRDefault="00AE24E0" w:rsidP="00606EAC">
            <w:pPr>
              <w:spacing w:after="0"/>
              <w:jc w:val="both"/>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Plomo</w:t>
            </w:r>
          </w:p>
        </w:tc>
        <w:tc>
          <w:tcPr>
            <w:tcW w:w="2197" w:type="dxa"/>
            <w:tcBorders>
              <w:top w:val="none" w:sz="0" w:space="0" w:color="auto"/>
              <w:bottom w:val="none" w:sz="0" w:space="0" w:color="auto"/>
            </w:tcBorders>
          </w:tcPr>
          <w:p w:rsidR="00AE24E0" w:rsidRPr="009B7CC5" w:rsidRDefault="00E377F4"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1.82</w:t>
            </w:r>
            <w:r w:rsidR="00AE24E0" w:rsidRPr="009B7CC5">
              <w:rPr>
                <w:sz w:val="20"/>
                <w:lang w:val="es-ES"/>
              </w:rPr>
              <w:t>9</w:t>
            </w:r>
          </w:p>
        </w:tc>
        <w:tc>
          <w:tcPr>
            <w:tcW w:w="2197" w:type="dxa"/>
            <w:tcBorders>
              <w:top w:val="none" w:sz="0" w:space="0" w:color="auto"/>
              <w:bottom w:val="none" w:sz="0" w:space="0" w:color="auto"/>
            </w:tcBorders>
          </w:tcPr>
          <w:p w:rsidR="00AE24E0" w:rsidRPr="009B7CC5" w:rsidRDefault="00AE24E0"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TMF</w:t>
            </w:r>
          </w:p>
        </w:tc>
      </w:tr>
      <w:tr w:rsidR="00AE24E0" w:rsidRPr="009B7CC5" w:rsidTr="00AE24E0">
        <w:trPr>
          <w:jc w:val="center"/>
        </w:trPr>
        <w:tc>
          <w:tcPr>
            <w:cnfStyle w:val="001000000000" w:firstRow="0" w:lastRow="0" w:firstColumn="1" w:lastColumn="0" w:oddVBand="0" w:evenVBand="0" w:oddHBand="0" w:evenHBand="0" w:firstRowFirstColumn="0" w:firstRowLastColumn="0" w:lastRowFirstColumn="0" w:lastRowLastColumn="0"/>
            <w:tcW w:w="2303" w:type="dxa"/>
            <w:vMerge/>
            <w:tcBorders>
              <w:right w:val="none" w:sz="0" w:space="0" w:color="auto"/>
            </w:tcBorders>
          </w:tcPr>
          <w:p w:rsidR="00AE24E0" w:rsidRPr="009B7CC5" w:rsidRDefault="00AE24E0" w:rsidP="00606EAC">
            <w:pPr>
              <w:spacing w:after="0"/>
              <w:jc w:val="both"/>
              <w:rPr>
                <w:sz w:val="20"/>
                <w:lang w:val="es-ES"/>
              </w:rPr>
            </w:pPr>
          </w:p>
        </w:tc>
        <w:tc>
          <w:tcPr>
            <w:tcW w:w="2234" w:type="dxa"/>
          </w:tcPr>
          <w:p w:rsidR="00AE24E0" w:rsidRPr="009B7CC5" w:rsidRDefault="00AE24E0" w:rsidP="00606EAC">
            <w:pPr>
              <w:spacing w:after="0"/>
              <w:jc w:val="both"/>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Oro</w:t>
            </w:r>
          </w:p>
        </w:tc>
        <w:tc>
          <w:tcPr>
            <w:tcW w:w="2197" w:type="dxa"/>
          </w:tcPr>
          <w:p w:rsidR="00AE24E0" w:rsidRPr="009B7CC5" w:rsidRDefault="00AE24E0"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51,3</w:t>
            </w:r>
          </w:p>
        </w:tc>
        <w:tc>
          <w:tcPr>
            <w:tcW w:w="2197" w:type="dxa"/>
          </w:tcPr>
          <w:p w:rsidR="00AE24E0" w:rsidRPr="009B7CC5" w:rsidRDefault="00AE24E0"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TMF</w:t>
            </w:r>
          </w:p>
        </w:tc>
      </w:tr>
      <w:tr w:rsidR="00AE24E0" w:rsidRPr="009B7CC5" w:rsidTr="00AE24E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7" w:type="dxa"/>
            <w:gridSpan w:val="2"/>
            <w:tcBorders>
              <w:top w:val="none" w:sz="0" w:space="0" w:color="auto"/>
              <w:bottom w:val="none" w:sz="0" w:space="0" w:color="auto"/>
              <w:right w:val="none" w:sz="0" w:space="0" w:color="auto"/>
            </w:tcBorders>
          </w:tcPr>
          <w:p w:rsidR="00AE24E0" w:rsidRPr="009B7CC5" w:rsidRDefault="00AE24E0" w:rsidP="00606EAC">
            <w:pPr>
              <w:spacing w:after="0"/>
              <w:jc w:val="both"/>
              <w:rPr>
                <w:sz w:val="20"/>
                <w:vertAlign w:val="superscript"/>
                <w:lang w:val="es-ES"/>
              </w:rPr>
            </w:pPr>
            <w:r w:rsidRPr="009B7CC5">
              <w:rPr>
                <w:sz w:val="20"/>
                <w:lang w:val="es-ES"/>
              </w:rPr>
              <w:t>Productos Minerales No- Metálicos</w:t>
            </w:r>
            <w:r w:rsidR="00545ADC" w:rsidRPr="009B7CC5">
              <w:rPr>
                <w:sz w:val="20"/>
                <w:vertAlign w:val="superscript"/>
                <w:lang w:val="es-ES"/>
              </w:rPr>
              <w:t>1</w:t>
            </w:r>
          </w:p>
        </w:tc>
        <w:tc>
          <w:tcPr>
            <w:tcW w:w="2197" w:type="dxa"/>
            <w:tcBorders>
              <w:top w:val="none" w:sz="0" w:space="0" w:color="auto"/>
              <w:bottom w:val="none" w:sz="0" w:space="0" w:color="auto"/>
            </w:tcBorders>
          </w:tcPr>
          <w:p w:rsidR="00AE24E0" w:rsidRPr="009B7CC5" w:rsidRDefault="00AE24E0"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19.6</w:t>
            </w:r>
            <w:r w:rsidR="00E377F4" w:rsidRPr="009B7CC5">
              <w:rPr>
                <w:sz w:val="20"/>
                <w:lang w:val="es-ES"/>
              </w:rPr>
              <w:t xml:space="preserve">60.191 </w:t>
            </w:r>
            <w:r w:rsidR="00A54739">
              <w:rPr>
                <w:i/>
                <w:sz w:val="20"/>
                <w:lang w:val="es-ES"/>
              </w:rPr>
              <w:t>(nota 3</w:t>
            </w:r>
            <w:r w:rsidRPr="009B7CC5">
              <w:rPr>
                <w:i/>
                <w:sz w:val="20"/>
                <w:lang w:val="es-ES"/>
              </w:rPr>
              <w:t>)</w:t>
            </w:r>
          </w:p>
        </w:tc>
        <w:tc>
          <w:tcPr>
            <w:tcW w:w="2197" w:type="dxa"/>
            <w:tcBorders>
              <w:top w:val="none" w:sz="0" w:space="0" w:color="auto"/>
              <w:bottom w:val="none" w:sz="0" w:space="0" w:color="auto"/>
            </w:tcBorders>
          </w:tcPr>
          <w:p w:rsidR="00AE24E0" w:rsidRPr="009B7CC5" w:rsidRDefault="00AE24E0"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TM</w:t>
            </w:r>
          </w:p>
        </w:tc>
      </w:tr>
    </w:tbl>
    <w:p w:rsidR="00AE24E0" w:rsidRPr="009B7CC5" w:rsidRDefault="00AE24E0" w:rsidP="00606EAC">
      <w:pPr>
        <w:autoSpaceDE w:val="0"/>
        <w:autoSpaceDN w:val="0"/>
        <w:adjustRightInd w:val="0"/>
        <w:spacing w:after="0"/>
        <w:ind w:firstLine="567"/>
        <w:rPr>
          <w:color w:val="000000"/>
          <w:sz w:val="16"/>
          <w:szCs w:val="16"/>
        </w:rPr>
      </w:pPr>
      <w:r w:rsidRPr="009B7CC5">
        <w:rPr>
          <w:color w:val="000000"/>
          <w:sz w:val="16"/>
          <w:szCs w:val="16"/>
        </w:rPr>
        <w:t xml:space="preserve">Fuentes: (1) SERNAGEOMIN, Anuario de Minería de Chile, 2013; (2) ENAP, Memoria Anual 2013; </w:t>
      </w:r>
    </w:p>
    <w:p w:rsidR="00A54739" w:rsidRDefault="00C21F27" w:rsidP="00606EAC">
      <w:pPr>
        <w:autoSpaceDE w:val="0"/>
        <w:autoSpaceDN w:val="0"/>
        <w:adjustRightInd w:val="0"/>
        <w:spacing w:after="0"/>
        <w:rPr>
          <w:i/>
          <w:color w:val="000000"/>
          <w:sz w:val="16"/>
          <w:szCs w:val="16"/>
        </w:rPr>
      </w:pPr>
      <w:r>
        <w:rPr>
          <w:i/>
          <w:color w:val="000000"/>
          <w:sz w:val="16"/>
          <w:szCs w:val="16"/>
        </w:rPr>
        <w:t xml:space="preserve">             </w:t>
      </w:r>
      <w:r w:rsidR="00AE24E0" w:rsidRPr="009B7CC5">
        <w:rPr>
          <w:i/>
          <w:color w:val="000000"/>
          <w:sz w:val="16"/>
          <w:szCs w:val="16"/>
        </w:rPr>
        <w:t>Nota 1:</w:t>
      </w:r>
      <w:r w:rsidR="00A54739">
        <w:rPr>
          <w:i/>
          <w:color w:val="000000"/>
          <w:sz w:val="16"/>
          <w:szCs w:val="16"/>
        </w:rPr>
        <w:t xml:space="preserve"> Se considera que </w:t>
      </w:r>
      <w:r w:rsidR="003B0A88">
        <w:rPr>
          <w:i/>
          <w:color w:val="000000"/>
          <w:sz w:val="16"/>
          <w:szCs w:val="16"/>
        </w:rPr>
        <w:t>la producción de</w:t>
      </w:r>
      <w:r w:rsidR="00A54739">
        <w:rPr>
          <w:i/>
          <w:color w:val="000000"/>
          <w:sz w:val="16"/>
          <w:szCs w:val="16"/>
        </w:rPr>
        <w:t xml:space="preserve"> </w:t>
      </w:r>
      <w:r w:rsidR="003B0A88">
        <w:rPr>
          <w:i/>
          <w:color w:val="000000"/>
          <w:sz w:val="16"/>
          <w:szCs w:val="16"/>
        </w:rPr>
        <w:t>plaguicidas desde el ingrediente activo es muy baja, pues se desarrolla sólo</w:t>
      </w:r>
      <w:r w:rsidR="007D18C2">
        <w:rPr>
          <w:i/>
          <w:color w:val="000000"/>
          <w:sz w:val="16"/>
          <w:szCs w:val="16"/>
        </w:rPr>
        <w:t xml:space="preserve"> </w:t>
      </w:r>
      <w:r w:rsidR="00F13083">
        <w:rPr>
          <w:i/>
          <w:color w:val="000000"/>
          <w:sz w:val="16"/>
          <w:szCs w:val="16"/>
        </w:rPr>
        <w:t xml:space="preserve">   </w:t>
      </w:r>
      <w:r w:rsidR="003B0A88">
        <w:rPr>
          <w:i/>
          <w:color w:val="000000"/>
          <w:sz w:val="16"/>
          <w:szCs w:val="16"/>
        </w:rPr>
        <w:t>la etapa de formulación.</w:t>
      </w:r>
    </w:p>
    <w:p w:rsidR="00AE24E0" w:rsidRPr="009B7CC5" w:rsidRDefault="00A54739" w:rsidP="00606EAC">
      <w:pPr>
        <w:autoSpaceDE w:val="0"/>
        <w:autoSpaceDN w:val="0"/>
        <w:adjustRightInd w:val="0"/>
        <w:spacing w:after="0"/>
        <w:ind w:firstLine="567"/>
        <w:rPr>
          <w:i/>
          <w:color w:val="000000"/>
          <w:sz w:val="16"/>
          <w:szCs w:val="16"/>
        </w:rPr>
      </w:pPr>
      <w:r>
        <w:rPr>
          <w:i/>
          <w:color w:val="000000"/>
          <w:sz w:val="16"/>
          <w:szCs w:val="16"/>
        </w:rPr>
        <w:t>Nota 2:</w:t>
      </w:r>
      <w:r w:rsidR="00AE24E0" w:rsidRPr="009B7CC5">
        <w:rPr>
          <w:i/>
          <w:color w:val="000000"/>
          <w:sz w:val="16"/>
          <w:szCs w:val="16"/>
        </w:rPr>
        <w:t xml:space="preserve"> Incluye sulfato de potasio, cloruro de potasio y nitratos</w:t>
      </w:r>
    </w:p>
    <w:p w:rsidR="00AE24E0" w:rsidRPr="009B7CC5" w:rsidRDefault="00AE24E0" w:rsidP="00606EAC">
      <w:pPr>
        <w:autoSpaceDE w:val="0"/>
        <w:autoSpaceDN w:val="0"/>
        <w:adjustRightInd w:val="0"/>
        <w:spacing w:after="0"/>
        <w:ind w:firstLine="567"/>
        <w:rPr>
          <w:i/>
          <w:color w:val="000000"/>
          <w:sz w:val="16"/>
          <w:szCs w:val="16"/>
        </w:rPr>
      </w:pPr>
      <w:r w:rsidRPr="009B7CC5">
        <w:rPr>
          <w:i/>
          <w:color w:val="000000"/>
          <w:sz w:val="16"/>
          <w:szCs w:val="16"/>
        </w:rPr>
        <w:t xml:space="preserve">Nota </w:t>
      </w:r>
      <w:r w:rsidR="00A54739">
        <w:rPr>
          <w:i/>
          <w:color w:val="000000"/>
          <w:sz w:val="16"/>
          <w:szCs w:val="16"/>
        </w:rPr>
        <w:t>3</w:t>
      </w:r>
      <w:r w:rsidRPr="009B7CC5">
        <w:rPr>
          <w:i/>
          <w:color w:val="000000"/>
          <w:sz w:val="16"/>
          <w:szCs w:val="16"/>
        </w:rPr>
        <w:t>: No incluye compuestos de azufre (ácido sulfúrico)</w:t>
      </w:r>
    </w:p>
    <w:p w:rsidR="00AE24E0" w:rsidRPr="009B7CC5" w:rsidRDefault="00AE24E0" w:rsidP="00606EAC">
      <w:pPr>
        <w:autoSpaceDE w:val="0"/>
        <w:autoSpaceDN w:val="0"/>
        <w:adjustRightInd w:val="0"/>
        <w:ind w:firstLine="567"/>
        <w:rPr>
          <w:i/>
          <w:color w:val="000000"/>
          <w:sz w:val="16"/>
          <w:szCs w:val="16"/>
        </w:rPr>
      </w:pPr>
      <w:r w:rsidRPr="009B7CC5">
        <w:rPr>
          <w:i/>
          <w:color w:val="000000"/>
          <w:sz w:val="16"/>
          <w:szCs w:val="16"/>
        </w:rPr>
        <w:t>TM: Toneladas Métricas; TMF: Toneladas Métricas Finas</w:t>
      </w:r>
    </w:p>
    <w:p w:rsidR="008D019A" w:rsidRPr="009B7CC5" w:rsidRDefault="008D019A" w:rsidP="00606EAC">
      <w:pPr>
        <w:jc w:val="both"/>
        <w:rPr>
          <w:sz w:val="22"/>
          <w:szCs w:val="22"/>
        </w:rPr>
      </w:pPr>
      <w:r w:rsidRPr="009B7CC5">
        <w:rPr>
          <w:sz w:val="22"/>
          <w:szCs w:val="22"/>
        </w:rPr>
        <w:t>En el ámbito de Importaciones y Exportaciones, la comercialización de los productos químicos se ve favorecida por acuerdos comerciales bilaterales y multilaterales alcanzados por Chile, por ejemplo, los Tratados de Libre Comercio con Vietnam, Malasia, Turquía, Australia, Panamá, Japón, China, Estados Unidos, Canadá, México, Corea, Centroamérica y el European</w:t>
      </w:r>
      <w:r w:rsidR="00AF513F" w:rsidRPr="009B7CC5">
        <w:rPr>
          <w:sz w:val="22"/>
          <w:szCs w:val="22"/>
        </w:rPr>
        <w:t xml:space="preserve"> </w:t>
      </w:r>
      <w:r w:rsidRPr="009B7CC5">
        <w:rPr>
          <w:sz w:val="22"/>
          <w:szCs w:val="22"/>
        </w:rPr>
        <w:t>Free Trade</w:t>
      </w:r>
      <w:r w:rsidR="00AF513F" w:rsidRPr="009B7CC5">
        <w:rPr>
          <w:sz w:val="22"/>
          <w:szCs w:val="22"/>
        </w:rPr>
        <w:t xml:space="preserve"> </w:t>
      </w:r>
      <w:r w:rsidRPr="009B7CC5">
        <w:rPr>
          <w:sz w:val="22"/>
          <w:szCs w:val="22"/>
        </w:rPr>
        <w:t>Association (EFTA). Asimismo, existen Acuerdos de Asociación como el P4 (con Nueva Zelanda, Singapur, Brunei) y con la Unión Europea y Acuerdos de Complementación con Bolivia, Cuba, Ecuador, MERCOSUR, Venezuela</w:t>
      </w:r>
      <w:r w:rsidRPr="009B7CC5">
        <w:rPr>
          <w:rStyle w:val="FootnoteReference"/>
          <w:sz w:val="22"/>
          <w:szCs w:val="22"/>
        </w:rPr>
        <w:footnoteReference w:id="20"/>
      </w:r>
      <w:r w:rsidRPr="009B7CC5">
        <w:rPr>
          <w:sz w:val="22"/>
          <w:szCs w:val="22"/>
        </w:rPr>
        <w:t>.</w:t>
      </w:r>
    </w:p>
    <w:p w:rsidR="008D019A" w:rsidRPr="009B7CC5" w:rsidRDefault="008D019A" w:rsidP="00606EAC">
      <w:pPr>
        <w:jc w:val="both"/>
        <w:rPr>
          <w:sz w:val="22"/>
          <w:szCs w:val="22"/>
        </w:rPr>
      </w:pPr>
      <w:r w:rsidRPr="009B7CC5">
        <w:rPr>
          <w:sz w:val="22"/>
          <w:szCs w:val="22"/>
        </w:rPr>
        <w:t>Desde el punto de vista de volumen, las principales exportaciones de productos químicos durante el año 2013 corresponden a minerales metálicos como el hierro, el cobre y el concentrado de cobre, a fertilizantes como el cloruro y nitrato de potasio y a productos químicos industriales como el cloruro de sodio, mientras que los princip</w:t>
      </w:r>
      <w:r w:rsidR="00FE4BD3" w:rsidRPr="009B7CC5">
        <w:rPr>
          <w:sz w:val="22"/>
          <w:szCs w:val="22"/>
        </w:rPr>
        <w:t>ales mercados de destino de ésto</w:t>
      </w:r>
      <w:r w:rsidRPr="009B7CC5">
        <w:rPr>
          <w:sz w:val="22"/>
          <w:szCs w:val="22"/>
        </w:rPr>
        <w:t>s son China, Japón, Estados Unidos y Corea del Sur para el caso del cobre y Brasil, Estados Unidos y Bélgica para los compuestos de potasio y sodio</w:t>
      </w:r>
      <w:r w:rsidRPr="009B7CC5">
        <w:rPr>
          <w:rStyle w:val="FootnoteReference"/>
          <w:sz w:val="22"/>
          <w:szCs w:val="22"/>
        </w:rPr>
        <w:footnoteReference w:id="21"/>
      </w:r>
      <w:r w:rsidRPr="009B7CC5">
        <w:rPr>
          <w:sz w:val="22"/>
          <w:szCs w:val="22"/>
        </w:rPr>
        <w:t>.</w:t>
      </w:r>
    </w:p>
    <w:p w:rsidR="00AE24E0" w:rsidRPr="009B7CC5" w:rsidRDefault="008D019A" w:rsidP="00606EAC">
      <w:pPr>
        <w:jc w:val="both"/>
        <w:rPr>
          <w:sz w:val="22"/>
          <w:szCs w:val="22"/>
        </w:rPr>
      </w:pPr>
      <w:r w:rsidRPr="009B7CC5">
        <w:rPr>
          <w:sz w:val="22"/>
          <w:szCs w:val="22"/>
        </w:rPr>
        <w:t>En los cuadros siguientes, se muestra la importación y exportación de productos químicos correspondientes al año 2013. La información de comercio exterior sobre sustancias químicas</w:t>
      </w:r>
      <w:r w:rsidR="00CC7518" w:rsidRPr="009B7CC5">
        <w:rPr>
          <w:sz w:val="22"/>
          <w:szCs w:val="22"/>
        </w:rPr>
        <w:t xml:space="preserve"> industriales</w:t>
      </w:r>
      <w:r w:rsidRPr="009B7CC5">
        <w:rPr>
          <w:sz w:val="22"/>
          <w:szCs w:val="22"/>
        </w:rPr>
        <w:t xml:space="preserve"> proviene de las declaraciones de importación y exportación que se realizan de acuerdo a la clasificación establecida en el Arancel Aduanero d</w:t>
      </w:r>
      <w:r w:rsidR="001F2662" w:rsidRPr="009B7CC5">
        <w:rPr>
          <w:sz w:val="22"/>
          <w:szCs w:val="22"/>
        </w:rPr>
        <w:t>el Servicio Nacional de Aduanas (partidas 28 y 29).</w:t>
      </w:r>
    </w:p>
    <w:p w:rsidR="00CE441C" w:rsidRPr="009B7CC5" w:rsidRDefault="00F13083" w:rsidP="00606EAC">
      <w:pPr>
        <w:spacing w:after="0"/>
        <w:jc w:val="center"/>
        <w:rPr>
          <w:b/>
          <w:sz w:val="22"/>
          <w:szCs w:val="22"/>
        </w:rPr>
      </w:pPr>
      <w:r>
        <w:rPr>
          <w:b/>
          <w:sz w:val="22"/>
          <w:szCs w:val="22"/>
          <w:lang w:val="es-ES"/>
        </w:rPr>
        <w:t>Tabla 11</w:t>
      </w:r>
      <w:r w:rsidR="00CE441C" w:rsidRPr="009B7CC5">
        <w:rPr>
          <w:b/>
          <w:sz w:val="22"/>
          <w:szCs w:val="22"/>
          <w:lang w:val="es-ES"/>
        </w:rPr>
        <w:t>.Exportación de sustancias químicas en Chile año 2013</w:t>
      </w:r>
    </w:p>
    <w:tbl>
      <w:tblPr>
        <w:tblStyle w:val="Tabladelista3-nfasis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267"/>
        <w:gridCol w:w="1701"/>
        <w:gridCol w:w="1276"/>
      </w:tblGrid>
      <w:tr w:rsidR="00CE441C" w:rsidRPr="009B7CC5" w:rsidTr="00CE441C">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4961" w:type="dxa"/>
            <w:gridSpan w:val="2"/>
            <w:tcBorders>
              <w:bottom w:val="none" w:sz="0" w:space="0" w:color="auto"/>
              <w:right w:val="none" w:sz="0" w:space="0" w:color="auto"/>
            </w:tcBorders>
          </w:tcPr>
          <w:p w:rsidR="00CE441C" w:rsidRPr="009B7CC5" w:rsidRDefault="00CE441C" w:rsidP="00606EAC">
            <w:pPr>
              <w:spacing w:after="0"/>
              <w:jc w:val="center"/>
              <w:rPr>
                <w:sz w:val="20"/>
                <w:lang w:val="es-ES"/>
              </w:rPr>
            </w:pPr>
            <w:r w:rsidRPr="009B7CC5">
              <w:rPr>
                <w:sz w:val="20"/>
                <w:lang w:val="es-ES"/>
              </w:rPr>
              <w:t>Producto</w:t>
            </w:r>
          </w:p>
        </w:tc>
        <w:tc>
          <w:tcPr>
            <w:tcW w:w="1701" w:type="dxa"/>
          </w:tcPr>
          <w:p w:rsidR="00CE441C" w:rsidRPr="009B7CC5" w:rsidRDefault="00CE441C" w:rsidP="00606EAC">
            <w:pPr>
              <w:spacing w:after="0"/>
              <w:jc w:val="center"/>
              <w:cnfStyle w:val="100000000000" w:firstRow="1" w:lastRow="0" w:firstColumn="0" w:lastColumn="0" w:oddVBand="0" w:evenVBand="0" w:oddHBand="0" w:evenHBand="0" w:firstRowFirstColumn="0" w:firstRowLastColumn="0" w:lastRowFirstColumn="0" w:lastRowLastColumn="0"/>
              <w:rPr>
                <w:sz w:val="20"/>
                <w:lang w:val="es-ES"/>
              </w:rPr>
            </w:pPr>
            <w:r w:rsidRPr="009B7CC5">
              <w:rPr>
                <w:sz w:val="20"/>
                <w:lang w:val="es-ES"/>
              </w:rPr>
              <w:t>Cantidad</w:t>
            </w:r>
          </w:p>
        </w:tc>
        <w:tc>
          <w:tcPr>
            <w:tcW w:w="1276" w:type="dxa"/>
          </w:tcPr>
          <w:p w:rsidR="00CE441C" w:rsidRPr="009B7CC5" w:rsidRDefault="00CE441C" w:rsidP="00606EAC">
            <w:pPr>
              <w:spacing w:after="0"/>
              <w:jc w:val="center"/>
              <w:cnfStyle w:val="100000000000" w:firstRow="1" w:lastRow="0" w:firstColumn="0" w:lastColumn="0" w:oddVBand="0" w:evenVBand="0" w:oddHBand="0" w:evenHBand="0" w:firstRowFirstColumn="0" w:firstRowLastColumn="0" w:lastRowFirstColumn="0" w:lastRowLastColumn="0"/>
              <w:rPr>
                <w:sz w:val="20"/>
                <w:lang w:val="es-ES"/>
              </w:rPr>
            </w:pPr>
            <w:r w:rsidRPr="009B7CC5">
              <w:rPr>
                <w:sz w:val="20"/>
                <w:lang w:val="es-ES"/>
              </w:rPr>
              <w:t>Unidad</w:t>
            </w:r>
          </w:p>
        </w:tc>
      </w:tr>
      <w:tr w:rsidR="00CE441C" w:rsidRPr="009B7CC5" w:rsidTr="00CE441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61" w:type="dxa"/>
            <w:gridSpan w:val="2"/>
            <w:tcBorders>
              <w:top w:val="none" w:sz="0" w:space="0" w:color="auto"/>
              <w:bottom w:val="none" w:sz="0" w:space="0" w:color="auto"/>
              <w:right w:val="none" w:sz="0" w:space="0" w:color="auto"/>
            </w:tcBorders>
          </w:tcPr>
          <w:p w:rsidR="00CE441C" w:rsidRPr="009B7CC5" w:rsidRDefault="00CE441C" w:rsidP="00606EAC">
            <w:pPr>
              <w:spacing w:after="0"/>
              <w:jc w:val="both"/>
              <w:rPr>
                <w:sz w:val="20"/>
                <w:lang w:val="es-ES"/>
              </w:rPr>
            </w:pPr>
            <w:r w:rsidRPr="009B7CC5">
              <w:rPr>
                <w:sz w:val="20"/>
                <w:lang w:val="es-ES"/>
              </w:rPr>
              <w:t xml:space="preserve">Plaguicidas </w:t>
            </w:r>
          </w:p>
        </w:tc>
        <w:tc>
          <w:tcPr>
            <w:tcW w:w="1701" w:type="dxa"/>
            <w:tcBorders>
              <w:top w:val="none" w:sz="0" w:space="0" w:color="auto"/>
              <w:bottom w:val="none" w:sz="0" w:space="0" w:color="auto"/>
            </w:tcBorders>
          </w:tcPr>
          <w:p w:rsidR="00CE441C" w:rsidRPr="009B7CC5" w:rsidRDefault="00CE441C"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14.967</w:t>
            </w:r>
          </w:p>
        </w:tc>
        <w:tc>
          <w:tcPr>
            <w:tcW w:w="1276" w:type="dxa"/>
            <w:tcBorders>
              <w:top w:val="none" w:sz="0" w:space="0" w:color="auto"/>
              <w:bottom w:val="none" w:sz="0" w:space="0" w:color="auto"/>
            </w:tcBorders>
          </w:tcPr>
          <w:p w:rsidR="00CE441C" w:rsidRPr="009B7CC5" w:rsidRDefault="00CE441C"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TM</w:t>
            </w:r>
          </w:p>
        </w:tc>
      </w:tr>
      <w:tr w:rsidR="00CE441C" w:rsidRPr="009B7CC5" w:rsidTr="00CE441C">
        <w:trPr>
          <w:jc w:val="center"/>
        </w:trPr>
        <w:tc>
          <w:tcPr>
            <w:cnfStyle w:val="001000000000" w:firstRow="0" w:lastRow="0" w:firstColumn="1" w:lastColumn="0" w:oddVBand="0" w:evenVBand="0" w:oddHBand="0" w:evenHBand="0" w:firstRowFirstColumn="0" w:firstRowLastColumn="0" w:lastRowFirstColumn="0" w:lastRowLastColumn="0"/>
            <w:tcW w:w="4961" w:type="dxa"/>
            <w:gridSpan w:val="2"/>
            <w:tcBorders>
              <w:right w:val="none" w:sz="0" w:space="0" w:color="auto"/>
            </w:tcBorders>
          </w:tcPr>
          <w:p w:rsidR="00CE441C" w:rsidRPr="009B7CC5" w:rsidRDefault="00CE441C" w:rsidP="00606EAC">
            <w:pPr>
              <w:spacing w:after="0"/>
              <w:jc w:val="both"/>
              <w:rPr>
                <w:sz w:val="20"/>
                <w:lang w:val="es-ES"/>
              </w:rPr>
            </w:pPr>
            <w:r w:rsidRPr="009B7CC5">
              <w:rPr>
                <w:sz w:val="20"/>
                <w:lang w:val="es-ES"/>
              </w:rPr>
              <w:t xml:space="preserve">Fertilizantes                                                                                                                                                                                                                                                                                                                                                                                                                                                                                                                                                                                              </w:t>
            </w:r>
          </w:p>
        </w:tc>
        <w:tc>
          <w:tcPr>
            <w:tcW w:w="1701" w:type="dxa"/>
          </w:tcPr>
          <w:p w:rsidR="00CE441C" w:rsidRPr="009B7CC5" w:rsidRDefault="00CE441C"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2.3</w:t>
            </w:r>
            <w:r w:rsidR="00CC7518" w:rsidRPr="009B7CC5">
              <w:rPr>
                <w:sz w:val="20"/>
                <w:lang w:val="es-ES"/>
              </w:rPr>
              <w:t>54.608</w:t>
            </w:r>
          </w:p>
        </w:tc>
        <w:tc>
          <w:tcPr>
            <w:tcW w:w="1276" w:type="dxa"/>
          </w:tcPr>
          <w:p w:rsidR="00CE441C" w:rsidRPr="009B7CC5" w:rsidRDefault="00CE441C"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TM</w:t>
            </w:r>
          </w:p>
        </w:tc>
      </w:tr>
      <w:tr w:rsidR="00CE441C" w:rsidRPr="009B7CC5" w:rsidTr="00CE441C">
        <w:trPr>
          <w:cnfStyle w:val="000000100000" w:firstRow="0" w:lastRow="0" w:firstColumn="0" w:lastColumn="0" w:oddVBand="0" w:evenVBand="0" w:oddHBand="1" w:evenHBand="0" w:firstRowFirstColumn="0" w:firstRowLastColumn="0" w:lastRowFirstColumn="0" w:lastRowLastColumn="0"/>
          <w:trHeight w:val="404"/>
          <w:jc w:val="center"/>
        </w:trPr>
        <w:tc>
          <w:tcPr>
            <w:cnfStyle w:val="001000000000" w:firstRow="0" w:lastRow="0" w:firstColumn="1" w:lastColumn="0" w:oddVBand="0" w:evenVBand="0" w:oddHBand="0" w:evenHBand="0" w:firstRowFirstColumn="0" w:firstRowLastColumn="0" w:lastRowFirstColumn="0" w:lastRowLastColumn="0"/>
            <w:tcW w:w="2694" w:type="dxa"/>
            <w:vMerge w:val="restart"/>
            <w:tcBorders>
              <w:top w:val="none" w:sz="0" w:space="0" w:color="auto"/>
              <w:bottom w:val="none" w:sz="0" w:space="0" w:color="auto"/>
              <w:right w:val="none" w:sz="0" w:space="0" w:color="auto"/>
            </w:tcBorders>
          </w:tcPr>
          <w:p w:rsidR="00CE441C" w:rsidRPr="009B7CC5" w:rsidRDefault="00CE441C" w:rsidP="00606EAC">
            <w:pPr>
              <w:spacing w:after="0"/>
              <w:rPr>
                <w:sz w:val="20"/>
                <w:lang w:val="es-ES"/>
              </w:rPr>
            </w:pPr>
            <w:r w:rsidRPr="009B7CC5">
              <w:rPr>
                <w:sz w:val="20"/>
                <w:lang w:val="es-ES"/>
              </w:rPr>
              <w:t>Combustibles derivados del petróleo</w:t>
            </w:r>
          </w:p>
        </w:tc>
        <w:tc>
          <w:tcPr>
            <w:tcW w:w="2267" w:type="dxa"/>
            <w:tcBorders>
              <w:top w:val="none" w:sz="0" w:space="0" w:color="auto"/>
              <w:bottom w:val="none" w:sz="0" w:space="0" w:color="auto"/>
            </w:tcBorders>
          </w:tcPr>
          <w:p w:rsidR="00CE441C" w:rsidRPr="009B7CC5" w:rsidRDefault="00CE441C" w:rsidP="00606EAC">
            <w:pPr>
              <w:spacing w:after="0"/>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Líquidos</w:t>
            </w:r>
          </w:p>
        </w:tc>
        <w:tc>
          <w:tcPr>
            <w:tcW w:w="1701" w:type="dxa"/>
            <w:tcBorders>
              <w:top w:val="none" w:sz="0" w:space="0" w:color="auto"/>
              <w:bottom w:val="none" w:sz="0" w:space="0" w:color="auto"/>
            </w:tcBorders>
          </w:tcPr>
          <w:p w:rsidR="00CE441C" w:rsidRPr="009B7CC5" w:rsidRDefault="00CC7518"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517.683</w:t>
            </w:r>
          </w:p>
        </w:tc>
        <w:tc>
          <w:tcPr>
            <w:tcW w:w="1276" w:type="dxa"/>
            <w:tcBorders>
              <w:top w:val="none" w:sz="0" w:space="0" w:color="auto"/>
              <w:bottom w:val="none" w:sz="0" w:space="0" w:color="auto"/>
            </w:tcBorders>
          </w:tcPr>
          <w:p w:rsidR="00CE441C" w:rsidRPr="009B7CC5" w:rsidRDefault="00CE441C"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TM</w:t>
            </w:r>
          </w:p>
        </w:tc>
      </w:tr>
      <w:tr w:rsidR="00CE441C" w:rsidRPr="009B7CC5" w:rsidTr="00CE441C">
        <w:trPr>
          <w:trHeight w:val="404"/>
          <w:jc w:val="center"/>
        </w:trPr>
        <w:tc>
          <w:tcPr>
            <w:cnfStyle w:val="001000000000" w:firstRow="0" w:lastRow="0" w:firstColumn="1" w:lastColumn="0" w:oddVBand="0" w:evenVBand="0" w:oddHBand="0" w:evenHBand="0" w:firstRowFirstColumn="0" w:firstRowLastColumn="0" w:lastRowFirstColumn="0" w:lastRowLastColumn="0"/>
            <w:tcW w:w="2694" w:type="dxa"/>
            <w:vMerge/>
            <w:tcBorders>
              <w:right w:val="none" w:sz="0" w:space="0" w:color="auto"/>
            </w:tcBorders>
          </w:tcPr>
          <w:p w:rsidR="00CE441C" w:rsidRPr="009B7CC5" w:rsidRDefault="00CE441C" w:rsidP="00606EAC">
            <w:pPr>
              <w:spacing w:after="0"/>
              <w:rPr>
                <w:sz w:val="20"/>
                <w:lang w:val="es-ES"/>
              </w:rPr>
            </w:pPr>
          </w:p>
        </w:tc>
        <w:tc>
          <w:tcPr>
            <w:tcW w:w="2267" w:type="dxa"/>
          </w:tcPr>
          <w:p w:rsidR="00CE441C" w:rsidRPr="009B7CC5" w:rsidRDefault="00CE441C" w:rsidP="00606EAC">
            <w:pPr>
              <w:spacing w:after="0"/>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Gases Licuados</w:t>
            </w:r>
          </w:p>
        </w:tc>
        <w:tc>
          <w:tcPr>
            <w:tcW w:w="1701" w:type="dxa"/>
          </w:tcPr>
          <w:p w:rsidR="00CE441C" w:rsidRPr="009B7CC5" w:rsidRDefault="00CE441C"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51.749</w:t>
            </w:r>
          </w:p>
        </w:tc>
        <w:tc>
          <w:tcPr>
            <w:tcW w:w="1276" w:type="dxa"/>
          </w:tcPr>
          <w:p w:rsidR="00CE441C" w:rsidRPr="009B7CC5" w:rsidRDefault="00CE441C"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TM</w:t>
            </w:r>
          </w:p>
        </w:tc>
      </w:tr>
      <w:tr w:rsidR="00CE441C" w:rsidRPr="009B7CC5" w:rsidTr="00CE441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61" w:type="dxa"/>
            <w:gridSpan w:val="2"/>
            <w:tcBorders>
              <w:top w:val="none" w:sz="0" w:space="0" w:color="auto"/>
              <w:bottom w:val="none" w:sz="0" w:space="0" w:color="auto"/>
              <w:right w:val="none" w:sz="0" w:space="0" w:color="auto"/>
            </w:tcBorders>
          </w:tcPr>
          <w:p w:rsidR="00CE441C" w:rsidRPr="009B7CC5" w:rsidRDefault="00CE441C" w:rsidP="00606EAC">
            <w:pPr>
              <w:spacing w:after="0"/>
              <w:jc w:val="both"/>
              <w:rPr>
                <w:sz w:val="20"/>
                <w:lang w:val="es-ES"/>
              </w:rPr>
            </w:pPr>
            <w:r w:rsidRPr="009B7CC5">
              <w:rPr>
                <w:sz w:val="20"/>
                <w:lang w:val="es-ES"/>
              </w:rPr>
              <w:t>Sustancias Químicas Industriales</w:t>
            </w:r>
          </w:p>
        </w:tc>
        <w:tc>
          <w:tcPr>
            <w:tcW w:w="1701" w:type="dxa"/>
            <w:tcBorders>
              <w:top w:val="none" w:sz="0" w:space="0" w:color="auto"/>
              <w:bottom w:val="none" w:sz="0" w:space="0" w:color="auto"/>
            </w:tcBorders>
          </w:tcPr>
          <w:p w:rsidR="00CE441C" w:rsidRPr="009B7CC5" w:rsidRDefault="001F2662"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761.416</w:t>
            </w:r>
          </w:p>
        </w:tc>
        <w:tc>
          <w:tcPr>
            <w:tcW w:w="1276" w:type="dxa"/>
            <w:tcBorders>
              <w:top w:val="none" w:sz="0" w:space="0" w:color="auto"/>
              <w:bottom w:val="none" w:sz="0" w:space="0" w:color="auto"/>
            </w:tcBorders>
          </w:tcPr>
          <w:p w:rsidR="00CE441C" w:rsidRPr="009B7CC5" w:rsidRDefault="00CE441C"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TM</w:t>
            </w:r>
          </w:p>
        </w:tc>
      </w:tr>
      <w:tr w:rsidR="00CE441C" w:rsidRPr="009B7CC5" w:rsidTr="00CE441C">
        <w:trPr>
          <w:jc w:val="center"/>
        </w:trPr>
        <w:tc>
          <w:tcPr>
            <w:cnfStyle w:val="001000000000" w:firstRow="0" w:lastRow="0" w:firstColumn="1" w:lastColumn="0" w:oddVBand="0" w:evenVBand="0" w:oddHBand="0" w:evenHBand="0" w:firstRowFirstColumn="0" w:firstRowLastColumn="0" w:lastRowFirstColumn="0" w:lastRowLastColumn="0"/>
            <w:tcW w:w="2694" w:type="dxa"/>
            <w:vMerge w:val="restart"/>
            <w:tcBorders>
              <w:right w:val="none" w:sz="0" w:space="0" w:color="auto"/>
            </w:tcBorders>
          </w:tcPr>
          <w:p w:rsidR="00CE441C" w:rsidRPr="009B7CC5" w:rsidRDefault="00CE441C" w:rsidP="00606EAC">
            <w:pPr>
              <w:spacing w:after="0"/>
              <w:rPr>
                <w:sz w:val="20"/>
                <w:lang w:val="es-ES"/>
              </w:rPr>
            </w:pPr>
            <w:r w:rsidRPr="009B7CC5">
              <w:rPr>
                <w:sz w:val="20"/>
                <w:lang w:val="es-ES"/>
              </w:rPr>
              <w:t>Productos Minerales Metálicos</w:t>
            </w:r>
          </w:p>
        </w:tc>
        <w:tc>
          <w:tcPr>
            <w:tcW w:w="2267" w:type="dxa"/>
          </w:tcPr>
          <w:p w:rsidR="00CE441C" w:rsidRPr="009B7CC5" w:rsidRDefault="00CE441C" w:rsidP="00606EAC">
            <w:pPr>
              <w:spacing w:after="0"/>
              <w:jc w:val="both"/>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Hierro</w:t>
            </w:r>
          </w:p>
        </w:tc>
        <w:tc>
          <w:tcPr>
            <w:tcW w:w="1701" w:type="dxa"/>
          </w:tcPr>
          <w:p w:rsidR="00CE441C" w:rsidRPr="009B7CC5" w:rsidRDefault="00CE441C"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1.460.389</w:t>
            </w:r>
          </w:p>
        </w:tc>
        <w:tc>
          <w:tcPr>
            <w:tcW w:w="1276" w:type="dxa"/>
          </w:tcPr>
          <w:p w:rsidR="00CE441C" w:rsidRPr="009B7CC5" w:rsidRDefault="00CE441C"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TM</w:t>
            </w:r>
          </w:p>
        </w:tc>
      </w:tr>
      <w:tr w:rsidR="00CE441C" w:rsidRPr="009B7CC5" w:rsidTr="00CD61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4" w:type="dxa"/>
            <w:vMerge/>
            <w:tcBorders>
              <w:top w:val="none" w:sz="0" w:space="0" w:color="auto"/>
              <w:bottom w:val="none" w:sz="0" w:space="0" w:color="auto"/>
              <w:right w:val="none" w:sz="0" w:space="0" w:color="auto"/>
            </w:tcBorders>
          </w:tcPr>
          <w:p w:rsidR="00CE441C" w:rsidRPr="009B7CC5" w:rsidRDefault="00CE441C" w:rsidP="00606EAC">
            <w:pPr>
              <w:spacing w:after="0"/>
              <w:jc w:val="both"/>
              <w:rPr>
                <w:sz w:val="20"/>
                <w:lang w:val="es-ES"/>
              </w:rPr>
            </w:pPr>
          </w:p>
        </w:tc>
        <w:tc>
          <w:tcPr>
            <w:tcW w:w="2267" w:type="dxa"/>
            <w:tcBorders>
              <w:top w:val="none" w:sz="0" w:space="0" w:color="auto"/>
              <w:bottom w:val="none" w:sz="0" w:space="0" w:color="auto"/>
            </w:tcBorders>
          </w:tcPr>
          <w:p w:rsidR="00CE441C" w:rsidRPr="009B7CC5" w:rsidRDefault="00CE441C" w:rsidP="00606EAC">
            <w:pPr>
              <w:spacing w:after="0"/>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Concentrado de Cobre</w:t>
            </w:r>
          </w:p>
        </w:tc>
        <w:tc>
          <w:tcPr>
            <w:tcW w:w="1701" w:type="dxa"/>
            <w:tcBorders>
              <w:top w:val="none" w:sz="0" w:space="0" w:color="auto"/>
              <w:bottom w:val="none" w:sz="0" w:space="0" w:color="auto"/>
            </w:tcBorders>
            <w:vAlign w:val="center"/>
          </w:tcPr>
          <w:p w:rsidR="00CE441C" w:rsidRPr="009B7CC5" w:rsidRDefault="00CE441C"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2.482.694</w:t>
            </w:r>
          </w:p>
        </w:tc>
        <w:tc>
          <w:tcPr>
            <w:tcW w:w="1276" w:type="dxa"/>
            <w:tcBorders>
              <w:top w:val="none" w:sz="0" w:space="0" w:color="auto"/>
              <w:bottom w:val="none" w:sz="0" w:space="0" w:color="auto"/>
            </w:tcBorders>
          </w:tcPr>
          <w:p w:rsidR="00CE441C" w:rsidRPr="009B7CC5" w:rsidRDefault="00CE441C"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TM</w:t>
            </w:r>
          </w:p>
        </w:tc>
      </w:tr>
      <w:tr w:rsidR="00CE441C" w:rsidRPr="009B7CC5" w:rsidTr="00CE441C">
        <w:trPr>
          <w:jc w:val="center"/>
        </w:trPr>
        <w:tc>
          <w:tcPr>
            <w:cnfStyle w:val="001000000000" w:firstRow="0" w:lastRow="0" w:firstColumn="1" w:lastColumn="0" w:oddVBand="0" w:evenVBand="0" w:oddHBand="0" w:evenHBand="0" w:firstRowFirstColumn="0" w:firstRowLastColumn="0" w:lastRowFirstColumn="0" w:lastRowLastColumn="0"/>
            <w:tcW w:w="2694" w:type="dxa"/>
            <w:vMerge/>
            <w:tcBorders>
              <w:right w:val="none" w:sz="0" w:space="0" w:color="auto"/>
            </w:tcBorders>
          </w:tcPr>
          <w:p w:rsidR="00CE441C" w:rsidRPr="009B7CC5" w:rsidRDefault="00CE441C" w:rsidP="00606EAC">
            <w:pPr>
              <w:spacing w:after="0"/>
              <w:jc w:val="both"/>
              <w:rPr>
                <w:sz w:val="20"/>
                <w:lang w:val="es-ES"/>
              </w:rPr>
            </w:pPr>
          </w:p>
        </w:tc>
        <w:tc>
          <w:tcPr>
            <w:tcW w:w="2267" w:type="dxa"/>
          </w:tcPr>
          <w:p w:rsidR="00CE441C" w:rsidRPr="009B7CC5" w:rsidRDefault="00CE441C" w:rsidP="00606EAC">
            <w:pPr>
              <w:spacing w:after="0"/>
              <w:jc w:val="both"/>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Cobre</w:t>
            </w:r>
          </w:p>
        </w:tc>
        <w:tc>
          <w:tcPr>
            <w:tcW w:w="1701" w:type="dxa"/>
          </w:tcPr>
          <w:p w:rsidR="00CE441C" w:rsidRPr="009B7CC5" w:rsidRDefault="00CE441C"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3.155.336</w:t>
            </w:r>
          </w:p>
        </w:tc>
        <w:tc>
          <w:tcPr>
            <w:tcW w:w="1276" w:type="dxa"/>
          </w:tcPr>
          <w:p w:rsidR="00CE441C" w:rsidRPr="009B7CC5" w:rsidRDefault="00CE441C"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TM</w:t>
            </w:r>
          </w:p>
        </w:tc>
      </w:tr>
      <w:tr w:rsidR="00CE441C" w:rsidRPr="009B7CC5" w:rsidTr="00CE441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4" w:type="dxa"/>
            <w:vMerge/>
            <w:tcBorders>
              <w:top w:val="none" w:sz="0" w:space="0" w:color="auto"/>
              <w:bottom w:val="none" w:sz="0" w:space="0" w:color="auto"/>
              <w:right w:val="none" w:sz="0" w:space="0" w:color="auto"/>
            </w:tcBorders>
          </w:tcPr>
          <w:p w:rsidR="00CE441C" w:rsidRPr="009B7CC5" w:rsidRDefault="00CE441C" w:rsidP="00606EAC">
            <w:pPr>
              <w:spacing w:after="0"/>
              <w:jc w:val="both"/>
              <w:rPr>
                <w:sz w:val="20"/>
                <w:lang w:val="es-ES"/>
              </w:rPr>
            </w:pPr>
          </w:p>
        </w:tc>
        <w:tc>
          <w:tcPr>
            <w:tcW w:w="2267" w:type="dxa"/>
            <w:tcBorders>
              <w:top w:val="none" w:sz="0" w:space="0" w:color="auto"/>
              <w:bottom w:val="none" w:sz="0" w:space="0" w:color="auto"/>
            </w:tcBorders>
          </w:tcPr>
          <w:p w:rsidR="00CE441C" w:rsidRPr="009B7CC5" w:rsidRDefault="00CE441C" w:rsidP="00606EAC">
            <w:pPr>
              <w:spacing w:after="0"/>
              <w:jc w:val="both"/>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Oro</w:t>
            </w:r>
          </w:p>
        </w:tc>
        <w:tc>
          <w:tcPr>
            <w:tcW w:w="1701" w:type="dxa"/>
            <w:tcBorders>
              <w:top w:val="none" w:sz="0" w:space="0" w:color="auto"/>
              <w:bottom w:val="none" w:sz="0" w:space="0" w:color="auto"/>
            </w:tcBorders>
          </w:tcPr>
          <w:p w:rsidR="00CE441C" w:rsidRPr="009B7CC5" w:rsidRDefault="00CE441C"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31,6</w:t>
            </w:r>
          </w:p>
        </w:tc>
        <w:tc>
          <w:tcPr>
            <w:tcW w:w="1276" w:type="dxa"/>
            <w:tcBorders>
              <w:top w:val="none" w:sz="0" w:space="0" w:color="auto"/>
              <w:bottom w:val="none" w:sz="0" w:space="0" w:color="auto"/>
            </w:tcBorders>
          </w:tcPr>
          <w:p w:rsidR="00CE441C" w:rsidRPr="009B7CC5" w:rsidRDefault="00CE441C"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TM</w:t>
            </w:r>
          </w:p>
        </w:tc>
      </w:tr>
      <w:tr w:rsidR="00CE441C" w:rsidRPr="009B7CC5" w:rsidTr="00CE441C">
        <w:trPr>
          <w:jc w:val="center"/>
        </w:trPr>
        <w:tc>
          <w:tcPr>
            <w:cnfStyle w:val="001000000000" w:firstRow="0" w:lastRow="0" w:firstColumn="1" w:lastColumn="0" w:oddVBand="0" w:evenVBand="0" w:oddHBand="0" w:evenHBand="0" w:firstRowFirstColumn="0" w:firstRowLastColumn="0" w:lastRowFirstColumn="0" w:lastRowLastColumn="0"/>
            <w:tcW w:w="2694" w:type="dxa"/>
            <w:vMerge/>
            <w:tcBorders>
              <w:right w:val="none" w:sz="0" w:space="0" w:color="auto"/>
            </w:tcBorders>
          </w:tcPr>
          <w:p w:rsidR="00CE441C" w:rsidRPr="009B7CC5" w:rsidRDefault="00CE441C" w:rsidP="00606EAC">
            <w:pPr>
              <w:spacing w:after="0"/>
              <w:jc w:val="both"/>
              <w:rPr>
                <w:sz w:val="20"/>
                <w:lang w:val="es-ES"/>
              </w:rPr>
            </w:pPr>
          </w:p>
        </w:tc>
        <w:tc>
          <w:tcPr>
            <w:tcW w:w="2267" w:type="dxa"/>
          </w:tcPr>
          <w:p w:rsidR="00CE441C" w:rsidRPr="009B7CC5" w:rsidRDefault="00CE441C" w:rsidP="00606EAC">
            <w:pPr>
              <w:spacing w:after="0"/>
              <w:jc w:val="both"/>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Plata</w:t>
            </w:r>
          </w:p>
        </w:tc>
        <w:tc>
          <w:tcPr>
            <w:tcW w:w="1701" w:type="dxa"/>
          </w:tcPr>
          <w:p w:rsidR="00CE441C" w:rsidRPr="009B7CC5" w:rsidRDefault="00CE441C"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375,7</w:t>
            </w:r>
          </w:p>
        </w:tc>
        <w:tc>
          <w:tcPr>
            <w:tcW w:w="1276" w:type="dxa"/>
          </w:tcPr>
          <w:p w:rsidR="00CE441C" w:rsidRPr="009B7CC5" w:rsidRDefault="00CE441C"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TM</w:t>
            </w:r>
          </w:p>
        </w:tc>
      </w:tr>
      <w:tr w:rsidR="00CE441C" w:rsidRPr="009B7CC5" w:rsidTr="00CE441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4" w:type="dxa"/>
            <w:vMerge/>
            <w:tcBorders>
              <w:top w:val="none" w:sz="0" w:space="0" w:color="auto"/>
              <w:bottom w:val="none" w:sz="0" w:space="0" w:color="auto"/>
              <w:right w:val="none" w:sz="0" w:space="0" w:color="auto"/>
            </w:tcBorders>
          </w:tcPr>
          <w:p w:rsidR="00CE441C" w:rsidRPr="009B7CC5" w:rsidRDefault="00CE441C" w:rsidP="00606EAC">
            <w:pPr>
              <w:spacing w:after="0"/>
              <w:jc w:val="both"/>
              <w:rPr>
                <w:sz w:val="20"/>
                <w:lang w:val="es-ES"/>
              </w:rPr>
            </w:pPr>
          </w:p>
        </w:tc>
        <w:tc>
          <w:tcPr>
            <w:tcW w:w="2267" w:type="dxa"/>
            <w:tcBorders>
              <w:top w:val="none" w:sz="0" w:space="0" w:color="auto"/>
              <w:bottom w:val="none" w:sz="0" w:space="0" w:color="auto"/>
            </w:tcBorders>
          </w:tcPr>
          <w:p w:rsidR="00CE441C" w:rsidRPr="009B7CC5" w:rsidRDefault="00CE441C" w:rsidP="00606EAC">
            <w:pPr>
              <w:spacing w:after="0"/>
              <w:jc w:val="both"/>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Molibdeno</w:t>
            </w:r>
          </w:p>
        </w:tc>
        <w:tc>
          <w:tcPr>
            <w:tcW w:w="1701" w:type="dxa"/>
            <w:tcBorders>
              <w:top w:val="none" w:sz="0" w:space="0" w:color="auto"/>
              <w:bottom w:val="none" w:sz="0" w:space="0" w:color="auto"/>
            </w:tcBorders>
          </w:tcPr>
          <w:p w:rsidR="00CE441C" w:rsidRPr="009B7CC5" w:rsidRDefault="00CE441C"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66.412</w:t>
            </w:r>
          </w:p>
        </w:tc>
        <w:tc>
          <w:tcPr>
            <w:tcW w:w="1276" w:type="dxa"/>
            <w:tcBorders>
              <w:top w:val="none" w:sz="0" w:space="0" w:color="auto"/>
              <w:bottom w:val="none" w:sz="0" w:space="0" w:color="auto"/>
            </w:tcBorders>
          </w:tcPr>
          <w:p w:rsidR="00CE441C" w:rsidRPr="009B7CC5" w:rsidRDefault="00CE441C"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TM</w:t>
            </w:r>
          </w:p>
        </w:tc>
      </w:tr>
      <w:tr w:rsidR="00CE441C" w:rsidRPr="009B7CC5" w:rsidTr="00CE441C">
        <w:trPr>
          <w:jc w:val="center"/>
        </w:trPr>
        <w:tc>
          <w:tcPr>
            <w:cnfStyle w:val="001000000000" w:firstRow="0" w:lastRow="0" w:firstColumn="1" w:lastColumn="0" w:oddVBand="0" w:evenVBand="0" w:oddHBand="0" w:evenHBand="0" w:firstRowFirstColumn="0" w:firstRowLastColumn="0" w:lastRowFirstColumn="0" w:lastRowLastColumn="0"/>
            <w:tcW w:w="2694" w:type="dxa"/>
            <w:vMerge w:val="restart"/>
            <w:tcBorders>
              <w:right w:val="none" w:sz="0" w:space="0" w:color="auto"/>
            </w:tcBorders>
          </w:tcPr>
          <w:p w:rsidR="00CE441C" w:rsidRPr="009B7CC5" w:rsidRDefault="00CE441C" w:rsidP="00606EAC">
            <w:pPr>
              <w:spacing w:after="0"/>
              <w:rPr>
                <w:sz w:val="20"/>
                <w:lang w:val="es-ES"/>
              </w:rPr>
            </w:pPr>
            <w:r w:rsidRPr="009B7CC5">
              <w:rPr>
                <w:sz w:val="20"/>
                <w:lang w:val="es-ES"/>
              </w:rPr>
              <w:t>Productos Minerales no Metálicos</w:t>
            </w:r>
          </w:p>
        </w:tc>
        <w:tc>
          <w:tcPr>
            <w:tcW w:w="2267" w:type="dxa"/>
          </w:tcPr>
          <w:p w:rsidR="00CE441C" w:rsidRPr="009B7CC5" w:rsidRDefault="00CE441C" w:rsidP="00606EAC">
            <w:pPr>
              <w:spacing w:after="0"/>
              <w:jc w:val="both"/>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Cloruro de sodio</w:t>
            </w:r>
          </w:p>
        </w:tc>
        <w:tc>
          <w:tcPr>
            <w:tcW w:w="1701" w:type="dxa"/>
          </w:tcPr>
          <w:p w:rsidR="00CE441C" w:rsidRPr="009B7CC5" w:rsidRDefault="00CE441C"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6.844.000</w:t>
            </w:r>
          </w:p>
        </w:tc>
        <w:tc>
          <w:tcPr>
            <w:tcW w:w="1276" w:type="dxa"/>
          </w:tcPr>
          <w:p w:rsidR="00CE441C" w:rsidRPr="009B7CC5" w:rsidRDefault="00CE441C"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TM</w:t>
            </w:r>
          </w:p>
        </w:tc>
      </w:tr>
      <w:tr w:rsidR="00CE441C" w:rsidRPr="009B7CC5" w:rsidTr="00CE441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4" w:type="dxa"/>
            <w:vMerge/>
            <w:tcBorders>
              <w:top w:val="none" w:sz="0" w:space="0" w:color="auto"/>
              <w:bottom w:val="none" w:sz="0" w:space="0" w:color="auto"/>
              <w:right w:val="none" w:sz="0" w:space="0" w:color="auto"/>
            </w:tcBorders>
          </w:tcPr>
          <w:p w:rsidR="00CE441C" w:rsidRPr="009B7CC5" w:rsidRDefault="00CE441C" w:rsidP="00606EAC">
            <w:pPr>
              <w:spacing w:after="0"/>
              <w:jc w:val="both"/>
              <w:rPr>
                <w:sz w:val="20"/>
                <w:lang w:val="es-ES"/>
              </w:rPr>
            </w:pPr>
          </w:p>
        </w:tc>
        <w:tc>
          <w:tcPr>
            <w:tcW w:w="2267" w:type="dxa"/>
            <w:tcBorders>
              <w:top w:val="none" w:sz="0" w:space="0" w:color="auto"/>
              <w:bottom w:val="none" w:sz="0" w:space="0" w:color="auto"/>
            </w:tcBorders>
          </w:tcPr>
          <w:p w:rsidR="00CE441C" w:rsidRPr="009B7CC5" w:rsidRDefault="00CE441C" w:rsidP="00606EAC">
            <w:pPr>
              <w:spacing w:after="0"/>
              <w:jc w:val="both"/>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Borato natural</w:t>
            </w:r>
          </w:p>
        </w:tc>
        <w:tc>
          <w:tcPr>
            <w:tcW w:w="1701" w:type="dxa"/>
            <w:tcBorders>
              <w:top w:val="none" w:sz="0" w:space="0" w:color="auto"/>
              <w:bottom w:val="none" w:sz="0" w:space="0" w:color="auto"/>
            </w:tcBorders>
          </w:tcPr>
          <w:p w:rsidR="00CE441C" w:rsidRPr="009B7CC5" w:rsidRDefault="00CE441C"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31.337</w:t>
            </w:r>
          </w:p>
        </w:tc>
        <w:tc>
          <w:tcPr>
            <w:tcW w:w="1276" w:type="dxa"/>
            <w:tcBorders>
              <w:top w:val="none" w:sz="0" w:space="0" w:color="auto"/>
              <w:bottom w:val="none" w:sz="0" w:space="0" w:color="auto"/>
            </w:tcBorders>
          </w:tcPr>
          <w:p w:rsidR="00CE441C" w:rsidRPr="009B7CC5" w:rsidRDefault="00CE441C"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TM</w:t>
            </w:r>
          </w:p>
        </w:tc>
      </w:tr>
      <w:tr w:rsidR="00CE441C" w:rsidRPr="009B7CC5" w:rsidTr="00CE441C">
        <w:trPr>
          <w:jc w:val="center"/>
        </w:trPr>
        <w:tc>
          <w:tcPr>
            <w:cnfStyle w:val="001000000000" w:firstRow="0" w:lastRow="0" w:firstColumn="1" w:lastColumn="0" w:oddVBand="0" w:evenVBand="0" w:oddHBand="0" w:evenHBand="0" w:firstRowFirstColumn="0" w:firstRowLastColumn="0" w:lastRowFirstColumn="0" w:lastRowLastColumn="0"/>
            <w:tcW w:w="2694" w:type="dxa"/>
            <w:vMerge/>
            <w:tcBorders>
              <w:right w:val="none" w:sz="0" w:space="0" w:color="auto"/>
            </w:tcBorders>
          </w:tcPr>
          <w:p w:rsidR="00CE441C" w:rsidRPr="009B7CC5" w:rsidRDefault="00CE441C" w:rsidP="00606EAC">
            <w:pPr>
              <w:spacing w:after="0"/>
              <w:jc w:val="both"/>
              <w:rPr>
                <w:sz w:val="20"/>
                <w:lang w:val="es-ES"/>
              </w:rPr>
            </w:pPr>
          </w:p>
        </w:tc>
        <w:tc>
          <w:tcPr>
            <w:tcW w:w="2267" w:type="dxa"/>
          </w:tcPr>
          <w:p w:rsidR="00CE441C" w:rsidRPr="009B7CC5" w:rsidRDefault="00CE441C" w:rsidP="00606EAC">
            <w:pPr>
              <w:spacing w:after="0"/>
              <w:jc w:val="both"/>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Yodo</w:t>
            </w:r>
          </w:p>
        </w:tc>
        <w:tc>
          <w:tcPr>
            <w:tcW w:w="1701" w:type="dxa"/>
          </w:tcPr>
          <w:p w:rsidR="00CE441C" w:rsidRPr="009B7CC5" w:rsidRDefault="00CE441C"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17.657</w:t>
            </w:r>
          </w:p>
        </w:tc>
        <w:tc>
          <w:tcPr>
            <w:tcW w:w="1276" w:type="dxa"/>
          </w:tcPr>
          <w:p w:rsidR="00CE441C" w:rsidRPr="009B7CC5" w:rsidRDefault="00CE441C"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TM</w:t>
            </w:r>
          </w:p>
        </w:tc>
      </w:tr>
      <w:tr w:rsidR="00CE441C" w:rsidRPr="009B7CC5" w:rsidTr="00CE441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4" w:type="dxa"/>
            <w:vMerge/>
            <w:tcBorders>
              <w:top w:val="none" w:sz="0" w:space="0" w:color="auto"/>
              <w:bottom w:val="none" w:sz="0" w:space="0" w:color="auto"/>
              <w:right w:val="none" w:sz="0" w:space="0" w:color="auto"/>
            </w:tcBorders>
          </w:tcPr>
          <w:p w:rsidR="00CE441C" w:rsidRPr="009B7CC5" w:rsidRDefault="00CE441C" w:rsidP="00606EAC">
            <w:pPr>
              <w:spacing w:after="0"/>
              <w:jc w:val="both"/>
              <w:rPr>
                <w:sz w:val="20"/>
                <w:lang w:val="es-ES"/>
              </w:rPr>
            </w:pPr>
          </w:p>
        </w:tc>
        <w:tc>
          <w:tcPr>
            <w:tcW w:w="2267" w:type="dxa"/>
            <w:tcBorders>
              <w:top w:val="none" w:sz="0" w:space="0" w:color="auto"/>
              <w:bottom w:val="none" w:sz="0" w:space="0" w:color="auto"/>
            </w:tcBorders>
          </w:tcPr>
          <w:p w:rsidR="00CE441C" w:rsidRPr="009B7CC5" w:rsidRDefault="00CE441C" w:rsidP="00606EAC">
            <w:pPr>
              <w:spacing w:after="0"/>
              <w:jc w:val="both"/>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Carbonato de litio</w:t>
            </w:r>
          </w:p>
        </w:tc>
        <w:tc>
          <w:tcPr>
            <w:tcW w:w="1701" w:type="dxa"/>
            <w:tcBorders>
              <w:top w:val="none" w:sz="0" w:space="0" w:color="auto"/>
              <w:bottom w:val="none" w:sz="0" w:space="0" w:color="auto"/>
            </w:tcBorders>
          </w:tcPr>
          <w:p w:rsidR="00CE441C" w:rsidRPr="009B7CC5" w:rsidRDefault="00CE441C"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47.594</w:t>
            </w:r>
          </w:p>
        </w:tc>
        <w:tc>
          <w:tcPr>
            <w:tcW w:w="1276" w:type="dxa"/>
            <w:tcBorders>
              <w:top w:val="none" w:sz="0" w:space="0" w:color="auto"/>
              <w:bottom w:val="none" w:sz="0" w:space="0" w:color="auto"/>
            </w:tcBorders>
          </w:tcPr>
          <w:p w:rsidR="00CE441C" w:rsidRPr="009B7CC5" w:rsidRDefault="00CE441C"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TM</w:t>
            </w:r>
          </w:p>
        </w:tc>
      </w:tr>
      <w:tr w:rsidR="00CE441C" w:rsidRPr="009B7CC5" w:rsidTr="00CE441C">
        <w:trPr>
          <w:jc w:val="center"/>
        </w:trPr>
        <w:tc>
          <w:tcPr>
            <w:cnfStyle w:val="001000000000" w:firstRow="0" w:lastRow="0" w:firstColumn="1" w:lastColumn="0" w:oddVBand="0" w:evenVBand="0" w:oddHBand="0" w:evenHBand="0" w:firstRowFirstColumn="0" w:firstRowLastColumn="0" w:lastRowFirstColumn="0" w:lastRowLastColumn="0"/>
            <w:tcW w:w="2694" w:type="dxa"/>
            <w:vMerge/>
            <w:tcBorders>
              <w:right w:val="none" w:sz="0" w:space="0" w:color="auto"/>
            </w:tcBorders>
          </w:tcPr>
          <w:p w:rsidR="00CE441C" w:rsidRPr="009B7CC5" w:rsidRDefault="00CE441C" w:rsidP="00606EAC">
            <w:pPr>
              <w:spacing w:after="0"/>
              <w:jc w:val="both"/>
              <w:rPr>
                <w:sz w:val="20"/>
                <w:lang w:val="es-ES"/>
              </w:rPr>
            </w:pPr>
          </w:p>
        </w:tc>
        <w:tc>
          <w:tcPr>
            <w:tcW w:w="2267" w:type="dxa"/>
          </w:tcPr>
          <w:p w:rsidR="00CE441C" w:rsidRPr="009B7CC5" w:rsidRDefault="00CE441C" w:rsidP="00606EAC">
            <w:pPr>
              <w:spacing w:after="0"/>
              <w:jc w:val="both"/>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Salitre</w:t>
            </w:r>
          </w:p>
        </w:tc>
        <w:tc>
          <w:tcPr>
            <w:tcW w:w="1701" w:type="dxa"/>
          </w:tcPr>
          <w:p w:rsidR="00CE441C" w:rsidRPr="009B7CC5" w:rsidRDefault="00CE441C"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180.307</w:t>
            </w:r>
          </w:p>
        </w:tc>
        <w:tc>
          <w:tcPr>
            <w:tcW w:w="1276" w:type="dxa"/>
          </w:tcPr>
          <w:p w:rsidR="00CE441C" w:rsidRPr="009B7CC5" w:rsidRDefault="00CE441C"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TM</w:t>
            </w:r>
          </w:p>
        </w:tc>
      </w:tr>
    </w:tbl>
    <w:p w:rsidR="00CE441C" w:rsidRPr="009B7CC5" w:rsidRDefault="00CE441C" w:rsidP="00606EAC">
      <w:pPr>
        <w:autoSpaceDE w:val="0"/>
        <w:autoSpaceDN w:val="0"/>
        <w:adjustRightInd w:val="0"/>
        <w:spacing w:after="0"/>
        <w:ind w:firstLine="993"/>
        <w:rPr>
          <w:color w:val="000000"/>
          <w:sz w:val="16"/>
          <w:szCs w:val="16"/>
        </w:rPr>
      </w:pPr>
      <w:r w:rsidRPr="009B7CC5">
        <w:rPr>
          <w:color w:val="000000"/>
          <w:sz w:val="16"/>
          <w:szCs w:val="16"/>
        </w:rPr>
        <w:t>Fuente: Banco Central, Informe Indicadores de Comercio Exterior Primer Trimestre 2014</w:t>
      </w:r>
    </w:p>
    <w:p w:rsidR="00CE441C" w:rsidRPr="009B7CC5" w:rsidRDefault="00CE441C" w:rsidP="00606EAC">
      <w:pPr>
        <w:ind w:firstLine="993"/>
        <w:rPr>
          <w:i/>
          <w:color w:val="000000"/>
          <w:sz w:val="16"/>
          <w:szCs w:val="16"/>
        </w:rPr>
      </w:pPr>
      <w:r w:rsidRPr="009B7CC5">
        <w:rPr>
          <w:i/>
          <w:color w:val="000000"/>
          <w:sz w:val="16"/>
          <w:szCs w:val="16"/>
        </w:rPr>
        <w:t>TM: Toneladas Métricas</w:t>
      </w:r>
    </w:p>
    <w:p w:rsidR="00C10C45" w:rsidRPr="009B7CC5" w:rsidRDefault="00F13083" w:rsidP="00606EAC">
      <w:pPr>
        <w:spacing w:after="0"/>
        <w:jc w:val="center"/>
        <w:rPr>
          <w:b/>
          <w:sz w:val="22"/>
          <w:szCs w:val="22"/>
          <w:lang w:val="es-ES"/>
        </w:rPr>
      </w:pPr>
      <w:r>
        <w:rPr>
          <w:b/>
          <w:sz w:val="22"/>
          <w:szCs w:val="22"/>
          <w:lang w:val="es-ES"/>
        </w:rPr>
        <w:t>Tabla 12</w:t>
      </w:r>
      <w:r w:rsidR="00C10C45" w:rsidRPr="009B7CC5">
        <w:rPr>
          <w:b/>
          <w:sz w:val="22"/>
          <w:szCs w:val="22"/>
          <w:lang w:val="es-ES"/>
        </w:rPr>
        <w:t>.Destino de exportación de sustancias químicas desde Chile, 2013</w:t>
      </w:r>
    </w:p>
    <w:tbl>
      <w:tblPr>
        <w:tblStyle w:val="Tabladelista3-nfasis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2127"/>
        <w:gridCol w:w="4606"/>
      </w:tblGrid>
      <w:tr w:rsidR="00C10C45" w:rsidRPr="009B7CC5" w:rsidTr="007D1C08">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4607" w:type="dxa"/>
            <w:gridSpan w:val="2"/>
            <w:tcBorders>
              <w:bottom w:val="none" w:sz="0" w:space="0" w:color="auto"/>
              <w:right w:val="none" w:sz="0" w:space="0" w:color="auto"/>
            </w:tcBorders>
          </w:tcPr>
          <w:p w:rsidR="00C10C45" w:rsidRPr="009B7CC5" w:rsidRDefault="00C10C45" w:rsidP="00606EAC">
            <w:pPr>
              <w:spacing w:after="0"/>
              <w:jc w:val="center"/>
              <w:rPr>
                <w:sz w:val="20"/>
                <w:lang w:val="es-ES"/>
              </w:rPr>
            </w:pPr>
            <w:r w:rsidRPr="009B7CC5">
              <w:rPr>
                <w:sz w:val="20"/>
                <w:lang w:val="es-ES"/>
              </w:rPr>
              <w:t>Producto</w:t>
            </w:r>
          </w:p>
        </w:tc>
        <w:tc>
          <w:tcPr>
            <w:tcW w:w="4606" w:type="dxa"/>
          </w:tcPr>
          <w:p w:rsidR="00C10C45" w:rsidRPr="009B7CC5" w:rsidRDefault="00C10C45" w:rsidP="00606EAC">
            <w:pPr>
              <w:spacing w:after="0"/>
              <w:jc w:val="center"/>
              <w:cnfStyle w:val="100000000000" w:firstRow="1" w:lastRow="0" w:firstColumn="0" w:lastColumn="0" w:oddVBand="0" w:evenVBand="0" w:oddHBand="0" w:evenHBand="0" w:firstRowFirstColumn="0" w:firstRowLastColumn="0" w:lastRowFirstColumn="0" w:lastRowLastColumn="0"/>
              <w:rPr>
                <w:sz w:val="20"/>
                <w:lang w:val="es-ES"/>
              </w:rPr>
            </w:pPr>
            <w:r w:rsidRPr="009B7CC5">
              <w:rPr>
                <w:sz w:val="20"/>
                <w:lang w:val="es-ES"/>
              </w:rPr>
              <w:t xml:space="preserve">País </w:t>
            </w:r>
          </w:p>
        </w:tc>
      </w:tr>
      <w:tr w:rsidR="00DC01E2" w:rsidRPr="009B7CC5" w:rsidTr="001149E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07" w:type="dxa"/>
            <w:gridSpan w:val="2"/>
            <w:tcBorders>
              <w:top w:val="none" w:sz="0" w:space="0" w:color="auto"/>
              <w:bottom w:val="none" w:sz="0" w:space="0" w:color="auto"/>
              <w:right w:val="none" w:sz="0" w:space="0" w:color="auto"/>
            </w:tcBorders>
          </w:tcPr>
          <w:p w:rsidR="00DC01E2" w:rsidRPr="009B7CC5" w:rsidRDefault="00DC01E2" w:rsidP="00606EAC">
            <w:pPr>
              <w:spacing w:after="0"/>
              <w:rPr>
                <w:sz w:val="20"/>
                <w:lang w:val="es-ES"/>
              </w:rPr>
            </w:pPr>
            <w:r>
              <w:rPr>
                <w:sz w:val="20"/>
                <w:lang w:val="es-ES"/>
              </w:rPr>
              <w:t>Plaguicidas</w:t>
            </w:r>
          </w:p>
        </w:tc>
        <w:tc>
          <w:tcPr>
            <w:tcW w:w="4606" w:type="dxa"/>
            <w:tcBorders>
              <w:top w:val="none" w:sz="0" w:space="0" w:color="auto"/>
              <w:bottom w:val="none" w:sz="0" w:space="0" w:color="auto"/>
            </w:tcBorders>
          </w:tcPr>
          <w:p w:rsidR="00DC01E2" w:rsidRPr="009B7CC5" w:rsidRDefault="001149ED"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Pr>
                <w:sz w:val="20"/>
                <w:lang w:val="es-ES"/>
              </w:rPr>
              <w:t>España, Sudáfrica, Italia</w:t>
            </w:r>
          </w:p>
        </w:tc>
      </w:tr>
      <w:tr w:rsidR="00C10C45" w:rsidRPr="009B7CC5" w:rsidTr="007D1C08">
        <w:trPr>
          <w:jc w:val="center"/>
        </w:trPr>
        <w:tc>
          <w:tcPr>
            <w:cnfStyle w:val="001000000000" w:firstRow="0" w:lastRow="0" w:firstColumn="1" w:lastColumn="0" w:oddVBand="0" w:evenVBand="0" w:oddHBand="0" w:evenHBand="0" w:firstRowFirstColumn="0" w:firstRowLastColumn="0" w:lastRowFirstColumn="0" w:lastRowLastColumn="0"/>
            <w:tcW w:w="4607" w:type="dxa"/>
            <w:gridSpan w:val="2"/>
            <w:tcBorders>
              <w:right w:val="none" w:sz="0" w:space="0" w:color="auto"/>
            </w:tcBorders>
            <w:vAlign w:val="center"/>
          </w:tcPr>
          <w:p w:rsidR="00C10C45" w:rsidRPr="009B7CC5" w:rsidRDefault="00C10C45" w:rsidP="00606EAC">
            <w:pPr>
              <w:spacing w:after="0"/>
              <w:rPr>
                <w:sz w:val="20"/>
                <w:lang w:val="es-ES"/>
              </w:rPr>
            </w:pPr>
            <w:r w:rsidRPr="009B7CC5">
              <w:rPr>
                <w:sz w:val="20"/>
                <w:lang w:val="es-ES"/>
              </w:rPr>
              <w:t xml:space="preserve">Fertilizantes                                                                                                                                                                                                                                                                                                                                                                                                                                                                                                                                                                                              </w:t>
            </w:r>
          </w:p>
        </w:tc>
        <w:tc>
          <w:tcPr>
            <w:tcW w:w="4606" w:type="dxa"/>
            <w:vAlign w:val="center"/>
          </w:tcPr>
          <w:p w:rsidR="00C10C45" w:rsidRPr="009B7CC5" w:rsidRDefault="00C10C45"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Estados Unidos, Bélgica, Brasil, México</w:t>
            </w:r>
          </w:p>
        </w:tc>
      </w:tr>
      <w:tr w:rsidR="00C10C45" w:rsidRPr="009B7CC5" w:rsidTr="001149ED">
        <w:trPr>
          <w:cnfStyle w:val="000000100000" w:firstRow="0" w:lastRow="0" w:firstColumn="0" w:lastColumn="0" w:oddVBand="0" w:evenVBand="0" w:oddHBand="1"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4607" w:type="dxa"/>
            <w:gridSpan w:val="2"/>
            <w:tcBorders>
              <w:top w:val="none" w:sz="0" w:space="0" w:color="auto"/>
              <w:bottom w:val="none" w:sz="0" w:space="0" w:color="auto"/>
              <w:right w:val="none" w:sz="0" w:space="0" w:color="auto"/>
            </w:tcBorders>
            <w:vAlign w:val="center"/>
          </w:tcPr>
          <w:p w:rsidR="00C10C45" w:rsidRPr="009B7CC5" w:rsidRDefault="00C10C45" w:rsidP="00606EAC">
            <w:pPr>
              <w:spacing w:after="0"/>
              <w:rPr>
                <w:sz w:val="20"/>
                <w:lang w:val="es-ES"/>
              </w:rPr>
            </w:pPr>
            <w:r w:rsidRPr="009B7CC5">
              <w:rPr>
                <w:sz w:val="20"/>
                <w:lang w:val="es-ES"/>
              </w:rPr>
              <w:t>Combustibles derivados del petróleo</w:t>
            </w:r>
          </w:p>
        </w:tc>
        <w:tc>
          <w:tcPr>
            <w:tcW w:w="4606" w:type="dxa"/>
            <w:tcBorders>
              <w:top w:val="none" w:sz="0" w:space="0" w:color="auto"/>
              <w:bottom w:val="none" w:sz="0" w:space="0" w:color="auto"/>
            </w:tcBorders>
            <w:vAlign w:val="center"/>
          </w:tcPr>
          <w:p w:rsidR="00C10C45" w:rsidRPr="009B7CC5" w:rsidRDefault="00C10C45"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Bolivia, Brasil</w:t>
            </w:r>
          </w:p>
        </w:tc>
      </w:tr>
      <w:tr w:rsidR="00C10C45" w:rsidRPr="009B7CC5" w:rsidTr="007D1C08">
        <w:trPr>
          <w:jc w:val="center"/>
        </w:trPr>
        <w:tc>
          <w:tcPr>
            <w:cnfStyle w:val="001000000000" w:firstRow="0" w:lastRow="0" w:firstColumn="1" w:lastColumn="0" w:oddVBand="0" w:evenVBand="0" w:oddHBand="0" w:evenHBand="0" w:firstRowFirstColumn="0" w:firstRowLastColumn="0" w:lastRowFirstColumn="0" w:lastRowLastColumn="0"/>
            <w:tcW w:w="4607" w:type="dxa"/>
            <w:gridSpan w:val="2"/>
            <w:tcBorders>
              <w:right w:val="none" w:sz="0" w:space="0" w:color="auto"/>
            </w:tcBorders>
            <w:vAlign w:val="center"/>
          </w:tcPr>
          <w:p w:rsidR="00C10C45" w:rsidRPr="009B7CC5" w:rsidRDefault="00C10C45" w:rsidP="00606EAC">
            <w:pPr>
              <w:spacing w:after="0"/>
              <w:rPr>
                <w:sz w:val="20"/>
                <w:lang w:val="es-ES"/>
              </w:rPr>
            </w:pPr>
            <w:r w:rsidRPr="009B7CC5">
              <w:rPr>
                <w:sz w:val="20"/>
                <w:lang w:val="es-ES"/>
              </w:rPr>
              <w:t>Sustancias Químicas Industriales</w:t>
            </w:r>
          </w:p>
        </w:tc>
        <w:tc>
          <w:tcPr>
            <w:tcW w:w="4606" w:type="dxa"/>
            <w:vAlign w:val="center"/>
          </w:tcPr>
          <w:p w:rsidR="00C10C45" w:rsidRPr="009B7CC5" w:rsidRDefault="00D14431"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Estados Unidos, Bélgica, China, Japón</w:t>
            </w:r>
          </w:p>
        </w:tc>
      </w:tr>
      <w:tr w:rsidR="00C10C45" w:rsidRPr="009B7CC5" w:rsidTr="001149E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80" w:type="dxa"/>
            <w:vMerge w:val="restart"/>
            <w:tcBorders>
              <w:top w:val="none" w:sz="0" w:space="0" w:color="auto"/>
              <w:bottom w:val="none" w:sz="0" w:space="0" w:color="auto"/>
              <w:right w:val="none" w:sz="0" w:space="0" w:color="auto"/>
            </w:tcBorders>
            <w:vAlign w:val="center"/>
          </w:tcPr>
          <w:p w:rsidR="00C10C45" w:rsidRPr="009B7CC5" w:rsidRDefault="00C10C45" w:rsidP="00606EAC">
            <w:pPr>
              <w:spacing w:after="0"/>
              <w:rPr>
                <w:sz w:val="20"/>
                <w:lang w:val="es-ES"/>
              </w:rPr>
            </w:pPr>
            <w:r w:rsidRPr="009B7CC5">
              <w:rPr>
                <w:sz w:val="20"/>
                <w:lang w:val="es-ES"/>
              </w:rPr>
              <w:t>Productos Minerales Metálicos</w:t>
            </w:r>
          </w:p>
        </w:tc>
        <w:tc>
          <w:tcPr>
            <w:tcW w:w="2127" w:type="dxa"/>
            <w:tcBorders>
              <w:top w:val="none" w:sz="0" w:space="0" w:color="auto"/>
              <w:bottom w:val="none" w:sz="0" w:space="0" w:color="auto"/>
            </w:tcBorders>
            <w:vAlign w:val="center"/>
          </w:tcPr>
          <w:p w:rsidR="00C10C45" w:rsidRPr="009B7CC5" w:rsidRDefault="00C10C45" w:rsidP="00606EAC">
            <w:pPr>
              <w:spacing w:after="0"/>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Hierro</w:t>
            </w:r>
          </w:p>
        </w:tc>
        <w:tc>
          <w:tcPr>
            <w:tcW w:w="4606" w:type="dxa"/>
            <w:tcBorders>
              <w:top w:val="none" w:sz="0" w:space="0" w:color="auto"/>
              <w:bottom w:val="none" w:sz="0" w:space="0" w:color="auto"/>
            </w:tcBorders>
            <w:vAlign w:val="center"/>
          </w:tcPr>
          <w:p w:rsidR="00C10C45" w:rsidRPr="009B7CC5" w:rsidRDefault="00C10C45"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China, Japón</w:t>
            </w:r>
          </w:p>
        </w:tc>
      </w:tr>
      <w:tr w:rsidR="00C10C45" w:rsidRPr="009B7CC5" w:rsidTr="007D1C08">
        <w:trPr>
          <w:jc w:val="center"/>
        </w:trPr>
        <w:tc>
          <w:tcPr>
            <w:cnfStyle w:val="001000000000" w:firstRow="0" w:lastRow="0" w:firstColumn="1" w:lastColumn="0" w:oddVBand="0" w:evenVBand="0" w:oddHBand="0" w:evenHBand="0" w:firstRowFirstColumn="0" w:firstRowLastColumn="0" w:lastRowFirstColumn="0" w:lastRowLastColumn="0"/>
            <w:tcW w:w="2480" w:type="dxa"/>
            <w:vMerge/>
            <w:tcBorders>
              <w:right w:val="none" w:sz="0" w:space="0" w:color="auto"/>
            </w:tcBorders>
            <w:vAlign w:val="center"/>
          </w:tcPr>
          <w:p w:rsidR="00C10C45" w:rsidRPr="009B7CC5" w:rsidRDefault="00C10C45" w:rsidP="00606EAC">
            <w:pPr>
              <w:spacing w:after="0"/>
              <w:rPr>
                <w:sz w:val="20"/>
                <w:lang w:val="es-ES"/>
              </w:rPr>
            </w:pPr>
          </w:p>
        </w:tc>
        <w:tc>
          <w:tcPr>
            <w:tcW w:w="2127" w:type="dxa"/>
            <w:vAlign w:val="center"/>
          </w:tcPr>
          <w:p w:rsidR="00C10C45" w:rsidRPr="009B7CC5" w:rsidRDefault="00C10C45" w:rsidP="00606EAC">
            <w:pPr>
              <w:spacing w:after="0"/>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Cobre</w:t>
            </w:r>
          </w:p>
        </w:tc>
        <w:tc>
          <w:tcPr>
            <w:tcW w:w="4606" w:type="dxa"/>
            <w:vAlign w:val="center"/>
          </w:tcPr>
          <w:p w:rsidR="00C10C45" w:rsidRPr="009B7CC5" w:rsidRDefault="00C10C45"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China, Japón, Estados Unidos, Corea del Sur</w:t>
            </w:r>
          </w:p>
        </w:tc>
      </w:tr>
      <w:tr w:rsidR="00C10C45" w:rsidRPr="009B7CC5" w:rsidTr="001149E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80" w:type="dxa"/>
            <w:tcBorders>
              <w:top w:val="none" w:sz="0" w:space="0" w:color="auto"/>
              <w:bottom w:val="none" w:sz="0" w:space="0" w:color="auto"/>
              <w:right w:val="none" w:sz="0" w:space="0" w:color="auto"/>
            </w:tcBorders>
            <w:vAlign w:val="center"/>
          </w:tcPr>
          <w:p w:rsidR="00C10C45" w:rsidRPr="009B7CC5" w:rsidRDefault="00C10C45" w:rsidP="00606EAC">
            <w:pPr>
              <w:spacing w:after="0"/>
              <w:rPr>
                <w:sz w:val="20"/>
                <w:lang w:val="es-ES"/>
              </w:rPr>
            </w:pPr>
            <w:r w:rsidRPr="009B7CC5">
              <w:rPr>
                <w:sz w:val="20"/>
                <w:lang w:val="es-ES"/>
              </w:rPr>
              <w:t>Productos Minerales no Metálicos</w:t>
            </w:r>
          </w:p>
        </w:tc>
        <w:tc>
          <w:tcPr>
            <w:tcW w:w="2127" w:type="dxa"/>
            <w:tcBorders>
              <w:top w:val="none" w:sz="0" w:space="0" w:color="auto"/>
              <w:bottom w:val="none" w:sz="0" w:space="0" w:color="auto"/>
            </w:tcBorders>
            <w:vAlign w:val="center"/>
          </w:tcPr>
          <w:p w:rsidR="00C10C45" w:rsidRPr="009B7CC5" w:rsidRDefault="00C10C45" w:rsidP="00606EAC">
            <w:pPr>
              <w:spacing w:after="0"/>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Cloruro de sodio</w:t>
            </w:r>
          </w:p>
        </w:tc>
        <w:tc>
          <w:tcPr>
            <w:tcW w:w="4606" w:type="dxa"/>
            <w:tcBorders>
              <w:top w:val="none" w:sz="0" w:space="0" w:color="auto"/>
              <w:bottom w:val="none" w:sz="0" w:space="0" w:color="auto"/>
            </w:tcBorders>
            <w:vAlign w:val="center"/>
          </w:tcPr>
          <w:p w:rsidR="00C10C45" w:rsidRPr="009B7CC5" w:rsidRDefault="00C10C45"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Brasil, Bélgica</w:t>
            </w:r>
          </w:p>
        </w:tc>
      </w:tr>
    </w:tbl>
    <w:p w:rsidR="00C10C45" w:rsidRPr="009B7CC5" w:rsidRDefault="00C10C45" w:rsidP="00606EAC">
      <w:pPr>
        <w:autoSpaceDE w:val="0"/>
        <w:autoSpaceDN w:val="0"/>
        <w:adjustRightInd w:val="0"/>
        <w:spacing w:after="0"/>
        <w:ind w:firstLine="426"/>
        <w:rPr>
          <w:color w:val="000000"/>
          <w:sz w:val="16"/>
          <w:szCs w:val="16"/>
        </w:rPr>
      </w:pPr>
      <w:r w:rsidRPr="009B7CC5">
        <w:rPr>
          <w:color w:val="000000"/>
          <w:sz w:val="16"/>
          <w:szCs w:val="16"/>
        </w:rPr>
        <w:t>Fuente: COCHILCO, SERNAGEOMIN, Banco Central</w:t>
      </w:r>
    </w:p>
    <w:p w:rsidR="00C10C45" w:rsidRPr="00E551B0" w:rsidRDefault="00C10C45" w:rsidP="00606EAC">
      <w:pPr>
        <w:autoSpaceDE w:val="0"/>
        <w:autoSpaceDN w:val="0"/>
        <w:adjustRightInd w:val="0"/>
        <w:spacing w:after="0"/>
        <w:rPr>
          <w:color w:val="000000"/>
          <w:sz w:val="22"/>
          <w:szCs w:val="22"/>
          <w:highlight w:val="yellow"/>
        </w:rPr>
      </w:pPr>
    </w:p>
    <w:p w:rsidR="00C10C45" w:rsidRPr="00E551B0" w:rsidRDefault="00C10C45" w:rsidP="00606EAC">
      <w:pPr>
        <w:jc w:val="both"/>
        <w:rPr>
          <w:sz w:val="22"/>
          <w:szCs w:val="22"/>
          <w:highlight w:val="yellow"/>
        </w:rPr>
      </w:pPr>
      <w:r w:rsidRPr="009B7CC5">
        <w:rPr>
          <w:sz w:val="22"/>
          <w:szCs w:val="22"/>
        </w:rPr>
        <w:t>La mayoría de los países destino de las exportaciones chilenas</w:t>
      </w:r>
      <w:r w:rsidR="0011690F">
        <w:rPr>
          <w:sz w:val="22"/>
          <w:szCs w:val="22"/>
        </w:rPr>
        <w:t xml:space="preserve"> mencionados</w:t>
      </w:r>
      <w:r w:rsidRPr="009B7CC5">
        <w:rPr>
          <w:sz w:val="22"/>
          <w:szCs w:val="22"/>
        </w:rPr>
        <w:t xml:space="preserve"> tienen implementado el sistema GHS,</w:t>
      </w:r>
      <w:r w:rsidR="0011690F">
        <w:rPr>
          <w:sz w:val="22"/>
          <w:szCs w:val="22"/>
        </w:rPr>
        <w:t xml:space="preserve"> con excepción de Bolivia,</w:t>
      </w:r>
      <w:r w:rsidRPr="009B7CC5">
        <w:rPr>
          <w:sz w:val="22"/>
          <w:szCs w:val="22"/>
        </w:rPr>
        <w:t xml:space="preserve"> por lo que muchos de los productos que salen del país tienen la exigencia de hacerlo con el etiquetado GHS.</w:t>
      </w:r>
      <w:r w:rsidR="009B7CC5" w:rsidRPr="009B7CC5">
        <w:rPr>
          <w:sz w:val="22"/>
          <w:szCs w:val="22"/>
        </w:rPr>
        <w:t xml:space="preserve"> </w:t>
      </w:r>
    </w:p>
    <w:p w:rsidR="0053303A" w:rsidRPr="009B7CC5" w:rsidRDefault="0053303A" w:rsidP="00606EAC">
      <w:pPr>
        <w:spacing w:after="0"/>
        <w:jc w:val="center"/>
        <w:rPr>
          <w:b/>
          <w:sz w:val="22"/>
          <w:szCs w:val="22"/>
          <w:lang w:val="es-ES"/>
        </w:rPr>
      </w:pPr>
      <w:r w:rsidRPr="009B7CC5">
        <w:rPr>
          <w:b/>
          <w:sz w:val="22"/>
          <w:szCs w:val="22"/>
          <w:lang w:val="es-ES"/>
        </w:rPr>
        <w:t xml:space="preserve">Tabla </w:t>
      </w:r>
      <w:r w:rsidR="00F13083">
        <w:rPr>
          <w:b/>
          <w:sz w:val="22"/>
          <w:szCs w:val="22"/>
          <w:lang w:val="es-ES"/>
        </w:rPr>
        <w:t>13</w:t>
      </w:r>
      <w:r w:rsidRPr="009B7CC5">
        <w:rPr>
          <w:b/>
          <w:sz w:val="22"/>
          <w:szCs w:val="22"/>
          <w:lang w:val="es-ES"/>
        </w:rPr>
        <w:t>.</w:t>
      </w:r>
      <w:r w:rsidR="00872364">
        <w:rPr>
          <w:b/>
          <w:sz w:val="22"/>
          <w:szCs w:val="22"/>
          <w:lang w:val="es-ES"/>
        </w:rPr>
        <w:t xml:space="preserve"> </w:t>
      </w:r>
      <w:r w:rsidRPr="009B7CC5">
        <w:rPr>
          <w:b/>
          <w:sz w:val="22"/>
          <w:szCs w:val="22"/>
          <w:lang w:val="es-ES"/>
        </w:rPr>
        <w:t>Importación de sustancias químicas en Chile año 2013</w:t>
      </w:r>
    </w:p>
    <w:tbl>
      <w:tblPr>
        <w:tblStyle w:val="Tabladelista3-nfasis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6"/>
        <w:gridCol w:w="6"/>
        <w:gridCol w:w="2491"/>
        <w:gridCol w:w="2504"/>
        <w:gridCol w:w="1349"/>
      </w:tblGrid>
      <w:tr w:rsidR="0053303A" w:rsidRPr="009B7CC5" w:rsidTr="0053303A">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4993" w:type="dxa"/>
            <w:gridSpan w:val="3"/>
            <w:tcBorders>
              <w:bottom w:val="none" w:sz="0" w:space="0" w:color="auto"/>
              <w:right w:val="none" w:sz="0" w:space="0" w:color="auto"/>
            </w:tcBorders>
          </w:tcPr>
          <w:p w:rsidR="0053303A" w:rsidRPr="009B7CC5" w:rsidRDefault="0053303A" w:rsidP="00606EAC">
            <w:pPr>
              <w:spacing w:after="0"/>
              <w:jc w:val="center"/>
              <w:rPr>
                <w:sz w:val="20"/>
                <w:lang w:val="es-ES"/>
              </w:rPr>
            </w:pPr>
            <w:bookmarkStart w:id="92" w:name="OLE_LINK9"/>
            <w:bookmarkStart w:id="93" w:name="OLE_LINK10"/>
            <w:r w:rsidRPr="009B7CC5">
              <w:rPr>
                <w:sz w:val="20"/>
                <w:lang w:val="es-ES"/>
              </w:rPr>
              <w:t xml:space="preserve">Producto </w:t>
            </w:r>
          </w:p>
        </w:tc>
        <w:tc>
          <w:tcPr>
            <w:tcW w:w="2504" w:type="dxa"/>
          </w:tcPr>
          <w:p w:rsidR="0053303A" w:rsidRPr="009B7CC5" w:rsidRDefault="0053303A" w:rsidP="00606EAC">
            <w:pPr>
              <w:spacing w:after="0"/>
              <w:jc w:val="center"/>
              <w:cnfStyle w:val="100000000000" w:firstRow="1" w:lastRow="0" w:firstColumn="0" w:lastColumn="0" w:oddVBand="0" w:evenVBand="0" w:oddHBand="0" w:evenHBand="0" w:firstRowFirstColumn="0" w:firstRowLastColumn="0" w:lastRowFirstColumn="0" w:lastRowLastColumn="0"/>
              <w:rPr>
                <w:sz w:val="20"/>
                <w:lang w:val="es-ES"/>
              </w:rPr>
            </w:pPr>
            <w:r w:rsidRPr="009B7CC5">
              <w:rPr>
                <w:sz w:val="20"/>
                <w:lang w:val="es-ES"/>
              </w:rPr>
              <w:t>Cantidad</w:t>
            </w:r>
          </w:p>
        </w:tc>
        <w:tc>
          <w:tcPr>
            <w:tcW w:w="1349" w:type="dxa"/>
          </w:tcPr>
          <w:p w:rsidR="0053303A" w:rsidRPr="009B7CC5" w:rsidRDefault="0053303A" w:rsidP="00606EAC">
            <w:pPr>
              <w:spacing w:after="0"/>
              <w:jc w:val="center"/>
              <w:cnfStyle w:val="100000000000" w:firstRow="1" w:lastRow="0" w:firstColumn="0" w:lastColumn="0" w:oddVBand="0" w:evenVBand="0" w:oddHBand="0" w:evenHBand="0" w:firstRowFirstColumn="0" w:firstRowLastColumn="0" w:lastRowFirstColumn="0" w:lastRowLastColumn="0"/>
              <w:rPr>
                <w:sz w:val="20"/>
                <w:lang w:val="es-ES"/>
              </w:rPr>
            </w:pPr>
            <w:r w:rsidRPr="009B7CC5">
              <w:rPr>
                <w:sz w:val="20"/>
                <w:lang w:val="es-ES"/>
              </w:rPr>
              <w:t>Unidad</w:t>
            </w:r>
          </w:p>
        </w:tc>
      </w:tr>
      <w:tr w:rsidR="0053303A" w:rsidRPr="009B7CC5" w:rsidTr="005330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93" w:type="dxa"/>
            <w:gridSpan w:val="3"/>
            <w:tcBorders>
              <w:top w:val="none" w:sz="0" w:space="0" w:color="auto"/>
              <w:bottom w:val="none" w:sz="0" w:space="0" w:color="auto"/>
              <w:right w:val="none" w:sz="0" w:space="0" w:color="auto"/>
            </w:tcBorders>
          </w:tcPr>
          <w:p w:rsidR="0053303A" w:rsidRPr="009B7CC5" w:rsidRDefault="0053303A" w:rsidP="00606EAC">
            <w:pPr>
              <w:spacing w:after="0"/>
              <w:jc w:val="both"/>
              <w:rPr>
                <w:sz w:val="20"/>
                <w:lang w:val="es-ES"/>
              </w:rPr>
            </w:pPr>
            <w:r w:rsidRPr="009B7CC5">
              <w:rPr>
                <w:sz w:val="20"/>
                <w:lang w:val="es-ES"/>
              </w:rPr>
              <w:t>Plaguicidas</w:t>
            </w:r>
          </w:p>
        </w:tc>
        <w:tc>
          <w:tcPr>
            <w:tcW w:w="2504" w:type="dxa"/>
            <w:tcBorders>
              <w:top w:val="none" w:sz="0" w:space="0" w:color="auto"/>
              <w:bottom w:val="none" w:sz="0" w:space="0" w:color="auto"/>
            </w:tcBorders>
          </w:tcPr>
          <w:p w:rsidR="0053303A" w:rsidRPr="009B7CC5" w:rsidRDefault="0053303A"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42.792</w:t>
            </w:r>
          </w:p>
        </w:tc>
        <w:tc>
          <w:tcPr>
            <w:tcW w:w="1349" w:type="dxa"/>
            <w:tcBorders>
              <w:top w:val="none" w:sz="0" w:space="0" w:color="auto"/>
              <w:bottom w:val="none" w:sz="0" w:space="0" w:color="auto"/>
            </w:tcBorders>
          </w:tcPr>
          <w:p w:rsidR="0053303A" w:rsidRPr="009B7CC5" w:rsidRDefault="0053303A"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TM</w:t>
            </w:r>
          </w:p>
        </w:tc>
      </w:tr>
      <w:tr w:rsidR="0053303A" w:rsidRPr="009B7CC5" w:rsidTr="0053303A">
        <w:trPr>
          <w:jc w:val="center"/>
        </w:trPr>
        <w:tc>
          <w:tcPr>
            <w:cnfStyle w:val="001000000000" w:firstRow="0" w:lastRow="0" w:firstColumn="1" w:lastColumn="0" w:oddVBand="0" w:evenVBand="0" w:oddHBand="0" w:evenHBand="0" w:firstRowFirstColumn="0" w:firstRowLastColumn="0" w:lastRowFirstColumn="0" w:lastRowLastColumn="0"/>
            <w:tcW w:w="4993" w:type="dxa"/>
            <w:gridSpan w:val="3"/>
            <w:tcBorders>
              <w:right w:val="none" w:sz="0" w:space="0" w:color="auto"/>
            </w:tcBorders>
          </w:tcPr>
          <w:p w:rsidR="0053303A" w:rsidRPr="009B7CC5" w:rsidRDefault="0053303A" w:rsidP="00606EAC">
            <w:pPr>
              <w:spacing w:after="0"/>
              <w:jc w:val="both"/>
              <w:rPr>
                <w:sz w:val="20"/>
                <w:lang w:val="es-ES"/>
              </w:rPr>
            </w:pPr>
            <w:r w:rsidRPr="009B7CC5">
              <w:rPr>
                <w:sz w:val="20"/>
                <w:lang w:val="es-ES"/>
              </w:rPr>
              <w:t xml:space="preserve">Fertilizantes                                                                                                                                                                                                                                                                                                                                                                                                                                                                                                                                                                                              </w:t>
            </w:r>
          </w:p>
        </w:tc>
        <w:tc>
          <w:tcPr>
            <w:tcW w:w="2504" w:type="dxa"/>
          </w:tcPr>
          <w:p w:rsidR="0053303A" w:rsidRPr="009B7CC5" w:rsidRDefault="0053303A"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952.605</w:t>
            </w:r>
          </w:p>
        </w:tc>
        <w:tc>
          <w:tcPr>
            <w:tcW w:w="1349" w:type="dxa"/>
          </w:tcPr>
          <w:p w:rsidR="0053303A" w:rsidRPr="009B7CC5" w:rsidRDefault="0053303A" w:rsidP="00606EAC">
            <w:pPr>
              <w:spacing w:after="0"/>
              <w:jc w:val="center"/>
              <w:cnfStyle w:val="000000000000" w:firstRow="0" w:lastRow="0" w:firstColumn="0" w:lastColumn="0" w:oddVBand="0" w:evenVBand="0" w:oddHBand="0" w:evenHBand="0" w:firstRowFirstColumn="0" w:firstRowLastColumn="0" w:lastRowFirstColumn="0" w:lastRowLastColumn="0"/>
              <w:rPr>
                <w:sz w:val="20"/>
                <w:vertAlign w:val="superscript"/>
                <w:lang w:val="es-ES"/>
              </w:rPr>
            </w:pPr>
            <w:r w:rsidRPr="009B7CC5">
              <w:rPr>
                <w:sz w:val="20"/>
                <w:lang w:val="es-ES"/>
              </w:rPr>
              <w:t>TM</w:t>
            </w:r>
          </w:p>
        </w:tc>
      </w:tr>
      <w:tr w:rsidR="0053303A" w:rsidRPr="009B7CC5" w:rsidTr="005330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93" w:type="dxa"/>
            <w:gridSpan w:val="3"/>
            <w:tcBorders>
              <w:top w:val="none" w:sz="0" w:space="0" w:color="auto"/>
              <w:bottom w:val="none" w:sz="0" w:space="0" w:color="auto"/>
              <w:right w:val="none" w:sz="0" w:space="0" w:color="auto"/>
            </w:tcBorders>
          </w:tcPr>
          <w:p w:rsidR="0053303A" w:rsidRPr="009B7CC5" w:rsidRDefault="0053303A" w:rsidP="00606EAC">
            <w:pPr>
              <w:spacing w:after="0"/>
              <w:jc w:val="both"/>
              <w:rPr>
                <w:sz w:val="20"/>
                <w:lang w:val="es-ES"/>
              </w:rPr>
            </w:pPr>
            <w:r w:rsidRPr="009B7CC5">
              <w:rPr>
                <w:sz w:val="20"/>
                <w:lang w:val="es-ES"/>
              </w:rPr>
              <w:t xml:space="preserve">Carbón </w:t>
            </w:r>
          </w:p>
        </w:tc>
        <w:tc>
          <w:tcPr>
            <w:tcW w:w="2504" w:type="dxa"/>
            <w:tcBorders>
              <w:top w:val="none" w:sz="0" w:space="0" w:color="auto"/>
              <w:bottom w:val="none" w:sz="0" w:space="0" w:color="auto"/>
            </w:tcBorders>
          </w:tcPr>
          <w:p w:rsidR="0053303A" w:rsidRPr="009B7CC5" w:rsidRDefault="0053303A"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11.360.948</w:t>
            </w:r>
          </w:p>
        </w:tc>
        <w:tc>
          <w:tcPr>
            <w:tcW w:w="1349" w:type="dxa"/>
            <w:tcBorders>
              <w:top w:val="none" w:sz="0" w:space="0" w:color="auto"/>
              <w:bottom w:val="none" w:sz="0" w:space="0" w:color="auto"/>
            </w:tcBorders>
          </w:tcPr>
          <w:p w:rsidR="0053303A" w:rsidRPr="009B7CC5" w:rsidRDefault="0053303A"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TM</w:t>
            </w:r>
          </w:p>
        </w:tc>
      </w:tr>
      <w:tr w:rsidR="0053303A" w:rsidRPr="009B7CC5" w:rsidTr="0053303A">
        <w:trPr>
          <w:jc w:val="center"/>
        </w:trPr>
        <w:tc>
          <w:tcPr>
            <w:cnfStyle w:val="001000000000" w:firstRow="0" w:lastRow="0" w:firstColumn="1" w:lastColumn="0" w:oddVBand="0" w:evenVBand="0" w:oddHBand="0" w:evenHBand="0" w:firstRowFirstColumn="0" w:firstRowLastColumn="0" w:lastRowFirstColumn="0" w:lastRowLastColumn="0"/>
            <w:tcW w:w="4993" w:type="dxa"/>
            <w:gridSpan w:val="3"/>
            <w:tcBorders>
              <w:right w:val="none" w:sz="0" w:space="0" w:color="auto"/>
            </w:tcBorders>
          </w:tcPr>
          <w:p w:rsidR="0053303A" w:rsidRPr="009B7CC5" w:rsidRDefault="0053303A" w:rsidP="00606EAC">
            <w:pPr>
              <w:spacing w:after="0"/>
              <w:jc w:val="both"/>
              <w:rPr>
                <w:sz w:val="20"/>
                <w:lang w:val="es-ES"/>
              </w:rPr>
            </w:pPr>
            <w:r w:rsidRPr="009B7CC5">
              <w:rPr>
                <w:sz w:val="20"/>
                <w:lang w:val="es-ES"/>
              </w:rPr>
              <w:t xml:space="preserve">Gas Natural </w:t>
            </w:r>
          </w:p>
        </w:tc>
        <w:tc>
          <w:tcPr>
            <w:tcW w:w="2504" w:type="dxa"/>
          </w:tcPr>
          <w:p w:rsidR="0053303A" w:rsidRPr="009B7CC5" w:rsidRDefault="0053303A"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18.758</w:t>
            </w:r>
          </w:p>
        </w:tc>
        <w:tc>
          <w:tcPr>
            <w:tcW w:w="1349" w:type="dxa"/>
          </w:tcPr>
          <w:p w:rsidR="0053303A" w:rsidRPr="009B7CC5" w:rsidRDefault="0053303A" w:rsidP="00606EAC">
            <w:pPr>
              <w:spacing w:after="0"/>
              <w:jc w:val="center"/>
              <w:cnfStyle w:val="000000000000" w:firstRow="0" w:lastRow="0" w:firstColumn="0" w:lastColumn="0" w:oddVBand="0" w:evenVBand="0" w:oddHBand="0" w:evenHBand="0" w:firstRowFirstColumn="0" w:firstRowLastColumn="0" w:lastRowFirstColumn="0" w:lastRowLastColumn="0"/>
              <w:rPr>
                <w:sz w:val="20"/>
                <w:vertAlign w:val="superscript"/>
                <w:lang w:val="es-ES"/>
              </w:rPr>
            </w:pPr>
            <w:r w:rsidRPr="009B7CC5">
              <w:rPr>
                <w:sz w:val="20"/>
                <w:lang w:val="es-ES"/>
              </w:rPr>
              <w:t>TM</w:t>
            </w:r>
          </w:p>
        </w:tc>
      </w:tr>
      <w:tr w:rsidR="0053303A" w:rsidRPr="009B7CC5" w:rsidTr="005330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93" w:type="dxa"/>
            <w:gridSpan w:val="3"/>
            <w:tcBorders>
              <w:top w:val="none" w:sz="0" w:space="0" w:color="auto"/>
              <w:bottom w:val="none" w:sz="0" w:space="0" w:color="auto"/>
              <w:right w:val="none" w:sz="0" w:space="0" w:color="auto"/>
            </w:tcBorders>
          </w:tcPr>
          <w:p w:rsidR="0053303A" w:rsidRPr="009B7CC5" w:rsidRDefault="0053303A" w:rsidP="00606EAC">
            <w:pPr>
              <w:spacing w:after="0"/>
              <w:jc w:val="both"/>
              <w:rPr>
                <w:sz w:val="20"/>
                <w:lang w:val="es-ES"/>
              </w:rPr>
            </w:pPr>
            <w:r w:rsidRPr="009B7CC5">
              <w:rPr>
                <w:sz w:val="20"/>
                <w:lang w:val="es-ES"/>
              </w:rPr>
              <w:t xml:space="preserve">Petróleo crudo </w:t>
            </w:r>
          </w:p>
        </w:tc>
        <w:tc>
          <w:tcPr>
            <w:tcW w:w="2504" w:type="dxa"/>
            <w:tcBorders>
              <w:top w:val="none" w:sz="0" w:space="0" w:color="auto"/>
              <w:bottom w:val="none" w:sz="0" w:space="0" w:color="auto"/>
            </w:tcBorders>
          </w:tcPr>
          <w:p w:rsidR="0053303A" w:rsidRPr="009B7CC5" w:rsidRDefault="0053303A"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8.997.267</w:t>
            </w:r>
          </w:p>
        </w:tc>
        <w:tc>
          <w:tcPr>
            <w:tcW w:w="1349" w:type="dxa"/>
            <w:tcBorders>
              <w:top w:val="none" w:sz="0" w:space="0" w:color="auto"/>
              <w:bottom w:val="none" w:sz="0" w:space="0" w:color="auto"/>
            </w:tcBorders>
          </w:tcPr>
          <w:p w:rsidR="0053303A" w:rsidRPr="009B7CC5" w:rsidRDefault="0053303A"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TM</w:t>
            </w:r>
          </w:p>
        </w:tc>
      </w:tr>
      <w:tr w:rsidR="0053303A" w:rsidRPr="009B7CC5" w:rsidTr="0053303A">
        <w:trPr>
          <w:trHeight w:val="404"/>
          <w:jc w:val="center"/>
        </w:trPr>
        <w:tc>
          <w:tcPr>
            <w:cnfStyle w:val="001000000000" w:firstRow="0" w:lastRow="0" w:firstColumn="1" w:lastColumn="0" w:oddVBand="0" w:evenVBand="0" w:oddHBand="0" w:evenHBand="0" w:firstRowFirstColumn="0" w:firstRowLastColumn="0" w:lastRowFirstColumn="0" w:lastRowLastColumn="0"/>
            <w:tcW w:w="2496" w:type="dxa"/>
            <w:vMerge w:val="restart"/>
            <w:tcBorders>
              <w:right w:val="none" w:sz="0" w:space="0" w:color="auto"/>
            </w:tcBorders>
          </w:tcPr>
          <w:p w:rsidR="0053303A" w:rsidRPr="009B7CC5" w:rsidRDefault="0053303A" w:rsidP="00606EAC">
            <w:pPr>
              <w:spacing w:after="0"/>
              <w:rPr>
                <w:sz w:val="20"/>
                <w:lang w:val="es-ES"/>
              </w:rPr>
            </w:pPr>
            <w:r w:rsidRPr="009B7CC5">
              <w:rPr>
                <w:sz w:val="20"/>
                <w:lang w:val="es-ES"/>
              </w:rPr>
              <w:t>Combustibles derivados del petróleo</w:t>
            </w:r>
          </w:p>
        </w:tc>
        <w:tc>
          <w:tcPr>
            <w:tcW w:w="2497" w:type="dxa"/>
            <w:gridSpan w:val="2"/>
          </w:tcPr>
          <w:p w:rsidR="0053303A" w:rsidRPr="009B7CC5" w:rsidRDefault="0053303A" w:rsidP="00606EAC">
            <w:pPr>
              <w:spacing w:after="0"/>
              <w:jc w:val="both"/>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Líquidos</w:t>
            </w:r>
          </w:p>
        </w:tc>
        <w:tc>
          <w:tcPr>
            <w:tcW w:w="2504" w:type="dxa"/>
          </w:tcPr>
          <w:p w:rsidR="0053303A" w:rsidRPr="009B7CC5" w:rsidRDefault="00636CB7"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5.713.397</w:t>
            </w:r>
          </w:p>
        </w:tc>
        <w:tc>
          <w:tcPr>
            <w:tcW w:w="1349" w:type="dxa"/>
          </w:tcPr>
          <w:p w:rsidR="0053303A" w:rsidRPr="009B7CC5" w:rsidRDefault="0053303A"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TM</w:t>
            </w:r>
          </w:p>
        </w:tc>
      </w:tr>
      <w:tr w:rsidR="0053303A" w:rsidRPr="009B7CC5" w:rsidTr="0053303A">
        <w:trPr>
          <w:cnfStyle w:val="000000100000" w:firstRow="0" w:lastRow="0" w:firstColumn="0" w:lastColumn="0" w:oddVBand="0" w:evenVBand="0" w:oddHBand="1" w:evenHBand="0" w:firstRowFirstColumn="0" w:firstRowLastColumn="0" w:lastRowFirstColumn="0" w:lastRowLastColumn="0"/>
          <w:trHeight w:val="404"/>
          <w:jc w:val="center"/>
        </w:trPr>
        <w:tc>
          <w:tcPr>
            <w:cnfStyle w:val="001000000000" w:firstRow="0" w:lastRow="0" w:firstColumn="1" w:lastColumn="0" w:oddVBand="0" w:evenVBand="0" w:oddHBand="0" w:evenHBand="0" w:firstRowFirstColumn="0" w:firstRowLastColumn="0" w:lastRowFirstColumn="0" w:lastRowLastColumn="0"/>
            <w:tcW w:w="2496" w:type="dxa"/>
            <w:vMerge/>
            <w:tcBorders>
              <w:top w:val="none" w:sz="0" w:space="0" w:color="auto"/>
              <w:bottom w:val="none" w:sz="0" w:space="0" w:color="auto"/>
              <w:right w:val="none" w:sz="0" w:space="0" w:color="auto"/>
            </w:tcBorders>
          </w:tcPr>
          <w:p w:rsidR="0053303A" w:rsidRPr="009B7CC5" w:rsidRDefault="0053303A" w:rsidP="00606EAC">
            <w:pPr>
              <w:spacing w:after="0"/>
              <w:jc w:val="both"/>
              <w:rPr>
                <w:sz w:val="20"/>
                <w:lang w:val="es-ES"/>
              </w:rPr>
            </w:pPr>
          </w:p>
        </w:tc>
        <w:tc>
          <w:tcPr>
            <w:tcW w:w="2497" w:type="dxa"/>
            <w:gridSpan w:val="2"/>
            <w:tcBorders>
              <w:top w:val="none" w:sz="0" w:space="0" w:color="auto"/>
              <w:bottom w:val="none" w:sz="0" w:space="0" w:color="auto"/>
            </w:tcBorders>
          </w:tcPr>
          <w:p w:rsidR="0053303A" w:rsidRPr="009B7CC5" w:rsidRDefault="0053303A" w:rsidP="00606EAC">
            <w:pPr>
              <w:spacing w:after="0"/>
              <w:jc w:val="both"/>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Gases Licuados</w:t>
            </w:r>
          </w:p>
        </w:tc>
        <w:tc>
          <w:tcPr>
            <w:tcW w:w="2504" w:type="dxa"/>
            <w:tcBorders>
              <w:top w:val="none" w:sz="0" w:space="0" w:color="auto"/>
              <w:bottom w:val="none" w:sz="0" w:space="0" w:color="auto"/>
            </w:tcBorders>
          </w:tcPr>
          <w:p w:rsidR="0053303A" w:rsidRPr="009B7CC5" w:rsidRDefault="0053303A"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1.04</w:t>
            </w:r>
            <w:r w:rsidR="00636CB7" w:rsidRPr="009B7CC5">
              <w:rPr>
                <w:sz w:val="20"/>
                <w:lang w:val="es-ES"/>
              </w:rPr>
              <w:t>5.653</w:t>
            </w:r>
          </w:p>
        </w:tc>
        <w:tc>
          <w:tcPr>
            <w:tcW w:w="1349" w:type="dxa"/>
            <w:tcBorders>
              <w:top w:val="none" w:sz="0" w:space="0" w:color="auto"/>
              <w:bottom w:val="none" w:sz="0" w:space="0" w:color="auto"/>
            </w:tcBorders>
          </w:tcPr>
          <w:p w:rsidR="0053303A" w:rsidRPr="009B7CC5" w:rsidRDefault="0053303A"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TM</w:t>
            </w:r>
          </w:p>
        </w:tc>
      </w:tr>
      <w:tr w:rsidR="0053303A" w:rsidRPr="009B7CC5" w:rsidTr="0053303A">
        <w:trPr>
          <w:jc w:val="center"/>
        </w:trPr>
        <w:tc>
          <w:tcPr>
            <w:cnfStyle w:val="001000000000" w:firstRow="0" w:lastRow="0" w:firstColumn="1" w:lastColumn="0" w:oddVBand="0" w:evenVBand="0" w:oddHBand="0" w:evenHBand="0" w:firstRowFirstColumn="0" w:firstRowLastColumn="0" w:lastRowFirstColumn="0" w:lastRowLastColumn="0"/>
            <w:tcW w:w="4993" w:type="dxa"/>
            <w:gridSpan w:val="3"/>
            <w:tcBorders>
              <w:right w:val="none" w:sz="0" w:space="0" w:color="auto"/>
            </w:tcBorders>
          </w:tcPr>
          <w:p w:rsidR="0053303A" w:rsidRPr="009B7CC5" w:rsidRDefault="0053303A" w:rsidP="00606EAC">
            <w:pPr>
              <w:spacing w:after="0"/>
              <w:jc w:val="both"/>
              <w:rPr>
                <w:sz w:val="20"/>
                <w:lang w:val="es-ES"/>
              </w:rPr>
            </w:pPr>
            <w:r w:rsidRPr="009B7CC5">
              <w:rPr>
                <w:sz w:val="20"/>
                <w:lang w:val="es-ES"/>
              </w:rPr>
              <w:t>Sustancias Químicas Industriales</w:t>
            </w:r>
          </w:p>
        </w:tc>
        <w:tc>
          <w:tcPr>
            <w:tcW w:w="2504" w:type="dxa"/>
          </w:tcPr>
          <w:p w:rsidR="0053303A" w:rsidRPr="009B7CC5" w:rsidRDefault="0015615E"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4.705.503</w:t>
            </w:r>
          </w:p>
        </w:tc>
        <w:tc>
          <w:tcPr>
            <w:tcW w:w="1349" w:type="dxa"/>
          </w:tcPr>
          <w:p w:rsidR="0053303A" w:rsidRPr="009B7CC5" w:rsidRDefault="0015615E"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TM</w:t>
            </w:r>
          </w:p>
        </w:tc>
      </w:tr>
      <w:tr w:rsidR="0053303A" w:rsidRPr="009B7CC5" w:rsidTr="005330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02" w:type="dxa"/>
            <w:gridSpan w:val="2"/>
            <w:vMerge w:val="restart"/>
            <w:tcBorders>
              <w:top w:val="none" w:sz="0" w:space="0" w:color="auto"/>
              <w:bottom w:val="none" w:sz="0" w:space="0" w:color="auto"/>
              <w:right w:val="none" w:sz="0" w:space="0" w:color="auto"/>
            </w:tcBorders>
          </w:tcPr>
          <w:p w:rsidR="0053303A" w:rsidRPr="009B7CC5" w:rsidRDefault="0053303A" w:rsidP="00606EAC">
            <w:pPr>
              <w:spacing w:after="0"/>
              <w:rPr>
                <w:sz w:val="20"/>
                <w:lang w:val="es-ES"/>
              </w:rPr>
            </w:pPr>
            <w:r w:rsidRPr="009B7CC5">
              <w:rPr>
                <w:sz w:val="20"/>
                <w:lang w:val="es-ES"/>
              </w:rPr>
              <w:t>Productos Minerales Metálicos</w:t>
            </w:r>
          </w:p>
        </w:tc>
        <w:tc>
          <w:tcPr>
            <w:tcW w:w="2491" w:type="dxa"/>
            <w:tcBorders>
              <w:top w:val="none" w:sz="0" w:space="0" w:color="auto"/>
              <w:bottom w:val="none" w:sz="0" w:space="0" w:color="auto"/>
            </w:tcBorders>
          </w:tcPr>
          <w:p w:rsidR="0053303A" w:rsidRPr="009B7CC5" w:rsidRDefault="0053303A" w:rsidP="00606EAC">
            <w:pPr>
              <w:spacing w:after="0"/>
              <w:jc w:val="both"/>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Aluminio</w:t>
            </w:r>
          </w:p>
        </w:tc>
        <w:tc>
          <w:tcPr>
            <w:tcW w:w="2504" w:type="dxa"/>
            <w:tcBorders>
              <w:top w:val="none" w:sz="0" w:space="0" w:color="auto"/>
              <w:bottom w:val="none" w:sz="0" w:space="0" w:color="auto"/>
            </w:tcBorders>
          </w:tcPr>
          <w:p w:rsidR="0053303A" w:rsidRPr="009B7CC5" w:rsidRDefault="0053303A"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246</w:t>
            </w:r>
          </w:p>
        </w:tc>
        <w:tc>
          <w:tcPr>
            <w:tcW w:w="1349" w:type="dxa"/>
            <w:tcBorders>
              <w:top w:val="none" w:sz="0" w:space="0" w:color="auto"/>
              <w:bottom w:val="none" w:sz="0" w:space="0" w:color="auto"/>
            </w:tcBorders>
          </w:tcPr>
          <w:p w:rsidR="0053303A" w:rsidRPr="009B7CC5" w:rsidRDefault="0053303A"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TM</w:t>
            </w:r>
          </w:p>
        </w:tc>
      </w:tr>
      <w:tr w:rsidR="0053303A" w:rsidRPr="009B7CC5" w:rsidTr="0053303A">
        <w:trPr>
          <w:jc w:val="center"/>
        </w:trPr>
        <w:tc>
          <w:tcPr>
            <w:cnfStyle w:val="001000000000" w:firstRow="0" w:lastRow="0" w:firstColumn="1" w:lastColumn="0" w:oddVBand="0" w:evenVBand="0" w:oddHBand="0" w:evenHBand="0" w:firstRowFirstColumn="0" w:firstRowLastColumn="0" w:lastRowFirstColumn="0" w:lastRowLastColumn="0"/>
            <w:tcW w:w="2502" w:type="dxa"/>
            <w:gridSpan w:val="2"/>
            <w:vMerge/>
            <w:tcBorders>
              <w:right w:val="none" w:sz="0" w:space="0" w:color="auto"/>
            </w:tcBorders>
          </w:tcPr>
          <w:p w:rsidR="0053303A" w:rsidRPr="009B7CC5" w:rsidRDefault="0053303A" w:rsidP="00606EAC">
            <w:pPr>
              <w:spacing w:after="0"/>
              <w:jc w:val="both"/>
              <w:rPr>
                <w:sz w:val="20"/>
                <w:lang w:val="es-ES"/>
              </w:rPr>
            </w:pPr>
          </w:p>
        </w:tc>
        <w:tc>
          <w:tcPr>
            <w:tcW w:w="2491" w:type="dxa"/>
          </w:tcPr>
          <w:p w:rsidR="0053303A" w:rsidRPr="009B7CC5" w:rsidRDefault="0053303A" w:rsidP="00606EAC">
            <w:pPr>
              <w:spacing w:after="0"/>
              <w:jc w:val="both"/>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Cobre</w:t>
            </w:r>
          </w:p>
        </w:tc>
        <w:tc>
          <w:tcPr>
            <w:tcW w:w="2504" w:type="dxa"/>
          </w:tcPr>
          <w:p w:rsidR="0053303A" w:rsidRPr="009B7CC5" w:rsidRDefault="0053303A"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162.871</w:t>
            </w:r>
          </w:p>
        </w:tc>
        <w:tc>
          <w:tcPr>
            <w:tcW w:w="1349" w:type="dxa"/>
          </w:tcPr>
          <w:p w:rsidR="0053303A" w:rsidRPr="009B7CC5" w:rsidRDefault="0053303A" w:rsidP="00606EAC">
            <w:pPr>
              <w:spacing w:after="0"/>
              <w:jc w:val="center"/>
              <w:cnfStyle w:val="000000000000" w:firstRow="0" w:lastRow="0" w:firstColumn="0" w:lastColumn="0" w:oddVBand="0" w:evenVBand="0" w:oddHBand="0" w:evenHBand="0" w:firstRowFirstColumn="0" w:firstRowLastColumn="0" w:lastRowFirstColumn="0" w:lastRowLastColumn="0"/>
              <w:rPr>
                <w:sz w:val="20"/>
                <w:vertAlign w:val="superscript"/>
                <w:lang w:val="es-ES"/>
              </w:rPr>
            </w:pPr>
            <w:r w:rsidRPr="009B7CC5">
              <w:rPr>
                <w:sz w:val="20"/>
                <w:lang w:val="es-ES"/>
              </w:rPr>
              <w:t>TM</w:t>
            </w:r>
          </w:p>
        </w:tc>
      </w:tr>
      <w:tr w:rsidR="0053303A" w:rsidRPr="009B7CC5" w:rsidTr="005330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02" w:type="dxa"/>
            <w:gridSpan w:val="2"/>
            <w:vMerge/>
            <w:tcBorders>
              <w:top w:val="none" w:sz="0" w:space="0" w:color="auto"/>
              <w:bottom w:val="none" w:sz="0" w:space="0" w:color="auto"/>
              <w:right w:val="none" w:sz="0" w:space="0" w:color="auto"/>
            </w:tcBorders>
          </w:tcPr>
          <w:p w:rsidR="0053303A" w:rsidRPr="009B7CC5" w:rsidRDefault="0053303A" w:rsidP="00606EAC">
            <w:pPr>
              <w:spacing w:after="0"/>
              <w:jc w:val="both"/>
              <w:rPr>
                <w:sz w:val="20"/>
                <w:lang w:val="es-ES"/>
              </w:rPr>
            </w:pPr>
          </w:p>
        </w:tc>
        <w:tc>
          <w:tcPr>
            <w:tcW w:w="2491" w:type="dxa"/>
            <w:tcBorders>
              <w:top w:val="none" w:sz="0" w:space="0" w:color="auto"/>
              <w:bottom w:val="none" w:sz="0" w:space="0" w:color="auto"/>
            </w:tcBorders>
          </w:tcPr>
          <w:p w:rsidR="0053303A" w:rsidRPr="009B7CC5" w:rsidRDefault="0053303A" w:rsidP="00606EAC">
            <w:pPr>
              <w:spacing w:after="0"/>
              <w:jc w:val="both"/>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Molibdeno</w:t>
            </w:r>
          </w:p>
        </w:tc>
        <w:tc>
          <w:tcPr>
            <w:tcW w:w="2504" w:type="dxa"/>
            <w:tcBorders>
              <w:top w:val="none" w:sz="0" w:space="0" w:color="auto"/>
              <w:bottom w:val="none" w:sz="0" w:space="0" w:color="auto"/>
            </w:tcBorders>
          </w:tcPr>
          <w:p w:rsidR="0053303A" w:rsidRPr="009B7CC5" w:rsidRDefault="0053303A"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34.239</w:t>
            </w:r>
          </w:p>
        </w:tc>
        <w:tc>
          <w:tcPr>
            <w:tcW w:w="1349" w:type="dxa"/>
            <w:tcBorders>
              <w:top w:val="none" w:sz="0" w:space="0" w:color="auto"/>
              <w:bottom w:val="none" w:sz="0" w:space="0" w:color="auto"/>
            </w:tcBorders>
          </w:tcPr>
          <w:p w:rsidR="0053303A" w:rsidRPr="009B7CC5" w:rsidRDefault="0053303A"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TM</w:t>
            </w:r>
          </w:p>
        </w:tc>
      </w:tr>
      <w:tr w:rsidR="0053303A" w:rsidRPr="009B7CC5" w:rsidTr="0053303A">
        <w:trPr>
          <w:jc w:val="center"/>
        </w:trPr>
        <w:tc>
          <w:tcPr>
            <w:cnfStyle w:val="001000000000" w:firstRow="0" w:lastRow="0" w:firstColumn="1" w:lastColumn="0" w:oddVBand="0" w:evenVBand="0" w:oddHBand="0" w:evenHBand="0" w:firstRowFirstColumn="0" w:firstRowLastColumn="0" w:lastRowFirstColumn="0" w:lastRowLastColumn="0"/>
            <w:tcW w:w="2502" w:type="dxa"/>
            <w:gridSpan w:val="2"/>
            <w:vMerge w:val="restart"/>
            <w:tcBorders>
              <w:right w:val="none" w:sz="0" w:space="0" w:color="auto"/>
            </w:tcBorders>
          </w:tcPr>
          <w:p w:rsidR="0053303A" w:rsidRPr="009B7CC5" w:rsidRDefault="0053303A" w:rsidP="00606EAC">
            <w:pPr>
              <w:spacing w:after="0"/>
              <w:rPr>
                <w:sz w:val="20"/>
                <w:lang w:val="es-ES"/>
              </w:rPr>
            </w:pPr>
            <w:r w:rsidRPr="009B7CC5">
              <w:rPr>
                <w:sz w:val="20"/>
                <w:lang w:val="es-ES"/>
              </w:rPr>
              <w:t>Productos Minerales no Metálicos</w:t>
            </w:r>
          </w:p>
        </w:tc>
        <w:tc>
          <w:tcPr>
            <w:tcW w:w="2491" w:type="dxa"/>
          </w:tcPr>
          <w:p w:rsidR="0053303A" w:rsidRPr="009B7CC5" w:rsidRDefault="0053303A" w:rsidP="00606EAC">
            <w:pPr>
              <w:spacing w:after="0"/>
              <w:jc w:val="both"/>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Dolomita sin calcinar</w:t>
            </w:r>
          </w:p>
        </w:tc>
        <w:tc>
          <w:tcPr>
            <w:tcW w:w="2504" w:type="dxa"/>
          </w:tcPr>
          <w:p w:rsidR="0053303A" w:rsidRPr="009B7CC5" w:rsidRDefault="0053303A"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183.018</w:t>
            </w:r>
          </w:p>
        </w:tc>
        <w:tc>
          <w:tcPr>
            <w:tcW w:w="1349" w:type="dxa"/>
          </w:tcPr>
          <w:p w:rsidR="0053303A" w:rsidRPr="009B7CC5" w:rsidRDefault="0053303A"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TM</w:t>
            </w:r>
          </w:p>
        </w:tc>
      </w:tr>
      <w:tr w:rsidR="0053303A" w:rsidRPr="009B7CC5" w:rsidTr="005330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02" w:type="dxa"/>
            <w:gridSpan w:val="2"/>
            <w:vMerge/>
            <w:tcBorders>
              <w:top w:val="none" w:sz="0" w:space="0" w:color="auto"/>
              <w:bottom w:val="none" w:sz="0" w:space="0" w:color="auto"/>
              <w:right w:val="none" w:sz="0" w:space="0" w:color="auto"/>
            </w:tcBorders>
          </w:tcPr>
          <w:p w:rsidR="0053303A" w:rsidRPr="009B7CC5" w:rsidRDefault="0053303A" w:rsidP="00606EAC">
            <w:pPr>
              <w:spacing w:after="0"/>
              <w:jc w:val="both"/>
              <w:rPr>
                <w:sz w:val="20"/>
                <w:lang w:val="es-ES"/>
              </w:rPr>
            </w:pPr>
          </w:p>
        </w:tc>
        <w:tc>
          <w:tcPr>
            <w:tcW w:w="2491" w:type="dxa"/>
            <w:tcBorders>
              <w:top w:val="none" w:sz="0" w:space="0" w:color="auto"/>
              <w:bottom w:val="none" w:sz="0" w:space="0" w:color="auto"/>
            </w:tcBorders>
          </w:tcPr>
          <w:p w:rsidR="0053303A" w:rsidRPr="009B7CC5" w:rsidRDefault="0053303A" w:rsidP="00606EAC">
            <w:pPr>
              <w:spacing w:after="0"/>
              <w:jc w:val="both"/>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Magnesita calcinada</w:t>
            </w:r>
          </w:p>
        </w:tc>
        <w:tc>
          <w:tcPr>
            <w:tcW w:w="2504" w:type="dxa"/>
            <w:tcBorders>
              <w:top w:val="none" w:sz="0" w:space="0" w:color="auto"/>
              <w:bottom w:val="none" w:sz="0" w:space="0" w:color="auto"/>
            </w:tcBorders>
          </w:tcPr>
          <w:p w:rsidR="0053303A" w:rsidRPr="009B7CC5" w:rsidRDefault="0053303A"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9.099</w:t>
            </w:r>
          </w:p>
        </w:tc>
        <w:tc>
          <w:tcPr>
            <w:tcW w:w="1349" w:type="dxa"/>
            <w:tcBorders>
              <w:top w:val="none" w:sz="0" w:space="0" w:color="auto"/>
              <w:bottom w:val="none" w:sz="0" w:space="0" w:color="auto"/>
            </w:tcBorders>
          </w:tcPr>
          <w:p w:rsidR="0053303A" w:rsidRPr="009B7CC5" w:rsidRDefault="0053303A"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TM</w:t>
            </w:r>
          </w:p>
        </w:tc>
      </w:tr>
    </w:tbl>
    <w:bookmarkEnd w:id="92"/>
    <w:bookmarkEnd w:id="93"/>
    <w:p w:rsidR="0053303A" w:rsidRDefault="0053303A" w:rsidP="00606EAC">
      <w:pPr>
        <w:autoSpaceDE w:val="0"/>
        <w:autoSpaceDN w:val="0"/>
        <w:adjustRightInd w:val="0"/>
        <w:spacing w:after="0"/>
        <w:ind w:firstLine="567"/>
        <w:rPr>
          <w:color w:val="000000"/>
          <w:sz w:val="16"/>
          <w:szCs w:val="16"/>
        </w:rPr>
      </w:pPr>
      <w:r w:rsidRPr="009B7CC5">
        <w:rPr>
          <w:color w:val="000000"/>
          <w:sz w:val="16"/>
          <w:szCs w:val="16"/>
        </w:rPr>
        <w:t xml:space="preserve">Fuentes: Banco Central, Informe Indicadores de Comercio Exterior Primer Trimestre 2014, </w:t>
      </w:r>
    </w:p>
    <w:p w:rsidR="00F13083" w:rsidRPr="009B7CC5" w:rsidRDefault="00F13083" w:rsidP="00606EAC">
      <w:pPr>
        <w:autoSpaceDE w:val="0"/>
        <w:autoSpaceDN w:val="0"/>
        <w:adjustRightInd w:val="0"/>
        <w:spacing w:after="0"/>
        <w:ind w:firstLine="567"/>
        <w:rPr>
          <w:i/>
          <w:color w:val="000000"/>
          <w:sz w:val="16"/>
          <w:szCs w:val="16"/>
        </w:rPr>
      </w:pPr>
    </w:p>
    <w:p w:rsidR="0053303A" w:rsidRPr="009B7CC5" w:rsidRDefault="00F13083" w:rsidP="00606EAC">
      <w:pPr>
        <w:spacing w:after="0"/>
        <w:jc w:val="center"/>
        <w:rPr>
          <w:b/>
          <w:sz w:val="22"/>
          <w:szCs w:val="22"/>
          <w:lang w:val="es-ES"/>
        </w:rPr>
      </w:pPr>
      <w:r>
        <w:rPr>
          <w:b/>
          <w:sz w:val="22"/>
          <w:szCs w:val="22"/>
          <w:lang w:val="es-ES"/>
        </w:rPr>
        <w:t>Tabla 14</w:t>
      </w:r>
      <w:r w:rsidR="0053303A" w:rsidRPr="009B7CC5">
        <w:rPr>
          <w:b/>
          <w:sz w:val="22"/>
          <w:szCs w:val="22"/>
          <w:lang w:val="es-ES"/>
        </w:rPr>
        <w:t>.Origen de importación de sustancias químicas desde Chile, 2013</w:t>
      </w:r>
    </w:p>
    <w:tbl>
      <w:tblPr>
        <w:tblStyle w:val="Tabladelista3-nfasis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252"/>
      </w:tblGrid>
      <w:tr w:rsidR="0053303A" w:rsidRPr="009B7CC5" w:rsidTr="00D667D6">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4536" w:type="dxa"/>
            <w:tcBorders>
              <w:bottom w:val="none" w:sz="0" w:space="0" w:color="auto"/>
              <w:right w:val="none" w:sz="0" w:space="0" w:color="auto"/>
            </w:tcBorders>
          </w:tcPr>
          <w:p w:rsidR="0053303A" w:rsidRPr="009B7CC5" w:rsidRDefault="0053303A" w:rsidP="00606EAC">
            <w:pPr>
              <w:spacing w:after="0"/>
              <w:jc w:val="center"/>
              <w:rPr>
                <w:sz w:val="20"/>
                <w:lang w:val="es-ES"/>
              </w:rPr>
            </w:pPr>
            <w:r w:rsidRPr="009B7CC5">
              <w:rPr>
                <w:sz w:val="20"/>
                <w:lang w:val="es-ES"/>
              </w:rPr>
              <w:t>Producto</w:t>
            </w:r>
          </w:p>
        </w:tc>
        <w:tc>
          <w:tcPr>
            <w:tcW w:w="4252" w:type="dxa"/>
          </w:tcPr>
          <w:p w:rsidR="0053303A" w:rsidRPr="009B7CC5" w:rsidRDefault="0053303A" w:rsidP="00606EAC">
            <w:pPr>
              <w:spacing w:after="0"/>
              <w:jc w:val="center"/>
              <w:cnfStyle w:val="100000000000" w:firstRow="1" w:lastRow="0" w:firstColumn="0" w:lastColumn="0" w:oddVBand="0" w:evenVBand="0" w:oddHBand="0" w:evenHBand="0" w:firstRowFirstColumn="0" w:firstRowLastColumn="0" w:lastRowFirstColumn="0" w:lastRowLastColumn="0"/>
              <w:rPr>
                <w:sz w:val="20"/>
                <w:lang w:val="es-ES"/>
              </w:rPr>
            </w:pPr>
            <w:r w:rsidRPr="009B7CC5">
              <w:rPr>
                <w:sz w:val="20"/>
                <w:lang w:val="es-ES"/>
              </w:rPr>
              <w:t xml:space="preserve">País </w:t>
            </w:r>
          </w:p>
        </w:tc>
      </w:tr>
      <w:tr w:rsidR="0053303A" w:rsidRPr="009B7CC5" w:rsidTr="00D667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6" w:type="dxa"/>
            <w:tcBorders>
              <w:top w:val="none" w:sz="0" w:space="0" w:color="auto"/>
              <w:bottom w:val="none" w:sz="0" w:space="0" w:color="auto"/>
              <w:right w:val="none" w:sz="0" w:space="0" w:color="auto"/>
            </w:tcBorders>
          </w:tcPr>
          <w:p w:rsidR="0053303A" w:rsidRPr="009B7CC5" w:rsidRDefault="0053303A" w:rsidP="00606EAC">
            <w:pPr>
              <w:spacing w:after="0"/>
              <w:jc w:val="both"/>
              <w:rPr>
                <w:sz w:val="20"/>
                <w:lang w:val="es-ES"/>
              </w:rPr>
            </w:pPr>
            <w:r w:rsidRPr="009B7CC5">
              <w:rPr>
                <w:sz w:val="20"/>
                <w:lang w:val="es-ES"/>
              </w:rPr>
              <w:t xml:space="preserve">Plaguicidas </w:t>
            </w:r>
          </w:p>
        </w:tc>
        <w:tc>
          <w:tcPr>
            <w:tcW w:w="4252" w:type="dxa"/>
            <w:tcBorders>
              <w:top w:val="none" w:sz="0" w:space="0" w:color="auto"/>
              <w:bottom w:val="none" w:sz="0" w:space="0" w:color="auto"/>
            </w:tcBorders>
          </w:tcPr>
          <w:p w:rsidR="0053303A" w:rsidRPr="009B7CC5" w:rsidRDefault="0053303A"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Argentina</w:t>
            </w:r>
            <w:r w:rsidR="00FB16F4">
              <w:rPr>
                <w:sz w:val="20"/>
                <w:lang w:val="es-ES"/>
              </w:rPr>
              <w:t>, Francia, Suiza</w:t>
            </w:r>
          </w:p>
        </w:tc>
      </w:tr>
      <w:tr w:rsidR="0053303A" w:rsidRPr="009B7CC5" w:rsidTr="00D667D6">
        <w:trPr>
          <w:jc w:val="center"/>
        </w:trPr>
        <w:tc>
          <w:tcPr>
            <w:cnfStyle w:val="001000000000" w:firstRow="0" w:lastRow="0" w:firstColumn="1" w:lastColumn="0" w:oddVBand="0" w:evenVBand="0" w:oddHBand="0" w:evenHBand="0" w:firstRowFirstColumn="0" w:firstRowLastColumn="0" w:lastRowFirstColumn="0" w:lastRowLastColumn="0"/>
            <w:tcW w:w="4536" w:type="dxa"/>
            <w:tcBorders>
              <w:right w:val="none" w:sz="0" w:space="0" w:color="auto"/>
            </w:tcBorders>
          </w:tcPr>
          <w:p w:rsidR="0053303A" w:rsidRPr="009B7CC5" w:rsidRDefault="0053303A" w:rsidP="00606EAC">
            <w:pPr>
              <w:spacing w:after="0"/>
              <w:jc w:val="both"/>
              <w:rPr>
                <w:sz w:val="20"/>
                <w:lang w:val="es-ES"/>
              </w:rPr>
            </w:pPr>
            <w:r w:rsidRPr="009B7CC5">
              <w:rPr>
                <w:sz w:val="20"/>
                <w:lang w:val="es-ES"/>
              </w:rPr>
              <w:t>Fertilizantes (Urea)</w:t>
            </w:r>
          </w:p>
        </w:tc>
        <w:tc>
          <w:tcPr>
            <w:tcW w:w="4252" w:type="dxa"/>
          </w:tcPr>
          <w:p w:rsidR="0053303A" w:rsidRPr="009B7CC5" w:rsidRDefault="0053303A"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Venezuela</w:t>
            </w:r>
          </w:p>
        </w:tc>
      </w:tr>
      <w:tr w:rsidR="0053303A" w:rsidRPr="009B7CC5" w:rsidTr="00D667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6" w:type="dxa"/>
            <w:tcBorders>
              <w:top w:val="none" w:sz="0" w:space="0" w:color="auto"/>
              <w:bottom w:val="none" w:sz="0" w:space="0" w:color="auto"/>
              <w:right w:val="none" w:sz="0" w:space="0" w:color="auto"/>
            </w:tcBorders>
          </w:tcPr>
          <w:p w:rsidR="0053303A" w:rsidRPr="009B7CC5" w:rsidRDefault="0053303A" w:rsidP="00606EAC">
            <w:pPr>
              <w:spacing w:after="0"/>
              <w:jc w:val="both"/>
              <w:rPr>
                <w:sz w:val="20"/>
                <w:lang w:val="es-ES"/>
              </w:rPr>
            </w:pPr>
            <w:r w:rsidRPr="009B7CC5">
              <w:rPr>
                <w:sz w:val="20"/>
                <w:lang w:val="es-ES"/>
              </w:rPr>
              <w:t>Carbón</w:t>
            </w:r>
          </w:p>
        </w:tc>
        <w:tc>
          <w:tcPr>
            <w:tcW w:w="4252" w:type="dxa"/>
            <w:tcBorders>
              <w:top w:val="none" w:sz="0" w:space="0" w:color="auto"/>
              <w:bottom w:val="none" w:sz="0" w:space="0" w:color="auto"/>
            </w:tcBorders>
          </w:tcPr>
          <w:p w:rsidR="0053303A" w:rsidRPr="009B7CC5" w:rsidRDefault="0053303A"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Colombia, Estados Unidos</w:t>
            </w:r>
          </w:p>
        </w:tc>
      </w:tr>
      <w:tr w:rsidR="0053303A" w:rsidRPr="009B7CC5" w:rsidTr="00D667D6">
        <w:trPr>
          <w:jc w:val="center"/>
        </w:trPr>
        <w:tc>
          <w:tcPr>
            <w:cnfStyle w:val="001000000000" w:firstRow="0" w:lastRow="0" w:firstColumn="1" w:lastColumn="0" w:oddVBand="0" w:evenVBand="0" w:oddHBand="0" w:evenHBand="0" w:firstRowFirstColumn="0" w:firstRowLastColumn="0" w:lastRowFirstColumn="0" w:lastRowLastColumn="0"/>
            <w:tcW w:w="4536" w:type="dxa"/>
            <w:tcBorders>
              <w:right w:val="none" w:sz="0" w:space="0" w:color="auto"/>
            </w:tcBorders>
          </w:tcPr>
          <w:p w:rsidR="0053303A" w:rsidRPr="009B7CC5" w:rsidRDefault="0053303A" w:rsidP="00606EAC">
            <w:pPr>
              <w:spacing w:after="0"/>
              <w:jc w:val="both"/>
              <w:rPr>
                <w:sz w:val="20"/>
                <w:lang w:val="es-ES"/>
              </w:rPr>
            </w:pPr>
            <w:r w:rsidRPr="009B7CC5">
              <w:rPr>
                <w:sz w:val="20"/>
                <w:lang w:val="es-ES"/>
              </w:rPr>
              <w:t>Gas Natural</w:t>
            </w:r>
          </w:p>
        </w:tc>
        <w:tc>
          <w:tcPr>
            <w:tcW w:w="4252" w:type="dxa"/>
          </w:tcPr>
          <w:p w:rsidR="0053303A" w:rsidRPr="009B7CC5" w:rsidRDefault="0053303A"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Argentina</w:t>
            </w:r>
          </w:p>
        </w:tc>
      </w:tr>
      <w:tr w:rsidR="0053303A" w:rsidRPr="009B7CC5" w:rsidTr="00D667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6" w:type="dxa"/>
            <w:tcBorders>
              <w:top w:val="none" w:sz="0" w:space="0" w:color="auto"/>
              <w:bottom w:val="none" w:sz="0" w:space="0" w:color="auto"/>
              <w:right w:val="none" w:sz="0" w:space="0" w:color="auto"/>
            </w:tcBorders>
          </w:tcPr>
          <w:p w:rsidR="0053303A" w:rsidRPr="009B7CC5" w:rsidRDefault="0053303A" w:rsidP="00606EAC">
            <w:pPr>
              <w:spacing w:after="0"/>
              <w:jc w:val="both"/>
              <w:rPr>
                <w:sz w:val="20"/>
                <w:lang w:val="es-ES"/>
              </w:rPr>
            </w:pPr>
            <w:r w:rsidRPr="009B7CC5">
              <w:rPr>
                <w:sz w:val="20"/>
                <w:lang w:val="es-ES"/>
              </w:rPr>
              <w:t>Petróleo Crudo</w:t>
            </w:r>
          </w:p>
        </w:tc>
        <w:tc>
          <w:tcPr>
            <w:tcW w:w="4252" w:type="dxa"/>
            <w:tcBorders>
              <w:top w:val="none" w:sz="0" w:space="0" w:color="auto"/>
              <w:bottom w:val="none" w:sz="0" w:space="0" w:color="auto"/>
            </w:tcBorders>
          </w:tcPr>
          <w:p w:rsidR="0053303A" w:rsidRPr="009B7CC5" w:rsidRDefault="0053303A"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Brasil, Ecuador</w:t>
            </w:r>
          </w:p>
        </w:tc>
      </w:tr>
      <w:tr w:rsidR="0053303A" w:rsidRPr="009B7CC5" w:rsidTr="00D667D6">
        <w:trPr>
          <w:trHeight w:val="272"/>
          <w:jc w:val="center"/>
        </w:trPr>
        <w:tc>
          <w:tcPr>
            <w:cnfStyle w:val="001000000000" w:firstRow="0" w:lastRow="0" w:firstColumn="1" w:lastColumn="0" w:oddVBand="0" w:evenVBand="0" w:oddHBand="0" w:evenHBand="0" w:firstRowFirstColumn="0" w:firstRowLastColumn="0" w:lastRowFirstColumn="0" w:lastRowLastColumn="0"/>
            <w:tcW w:w="4536" w:type="dxa"/>
            <w:tcBorders>
              <w:right w:val="none" w:sz="0" w:space="0" w:color="auto"/>
            </w:tcBorders>
          </w:tcPr>
          <w:p w:rsidR="0053303A" w:rsidRPr="009B7CC5" w:rsidRDefault="0053303A" w:rsidP="00606EAC">
            <w:pPr>
              <w:spacing w:after="0"/>
              <w:rPr>
                <w:sz w:val="20"/>
                <w:lang w:val="es-ES"/>
              </w:rPr>
            </w:pPr>
            <w:r w:rsidRPr="009B7CC5">
              <w:rPr>
                <w:sz w:val="20"/>
                <w:lang w:val="es-ES"/>
              </w:rPr>
              <w:t>Combustibles derivados del petróleo</w:t>
            </w:r>
          </w:p>
        </w:tc>
        <w:tc>
          <w:tcPr>
            <w:tcW w:w="4252" w:type="dxa"/>
          </w:tcPr>
          <w:p w:rsidR="0053303A" w:rsidRPr="009B7CC5" w:rsidRDefault="0053303A"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Estados Unidos, Corea del Sur</w:t>
            </w:r>
          </w:p>
        </w:tc>
      </w:tr>
      <w:tr w:rsidR="0053303A" w:rsidRPr="009B7CC5" w:rsidTr="00D667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6" w:type="dxa"/>
            <w:tcBorders>
              <w:top w:val="none" w:sz="0" w:space="0" w:color="auto"/>
              <w:bottom w:val="none" w:sz="0" w:space="0" w:color="auto"/>
              <w:right w:val="none" w:sz="0" w:space="0" w:color="auto"/>
            </w:tcBorders>
          </w:tcPr>
          <w:p w:rsidR="0053303A" w:rsidRPr="009B7CC5" w:rsidRDefault="0053303A" w:rsidP="00606EAC">
            <w:pPr>
              <w:spacing w:after="0"/>
              <w:jc w:val="both"/>
              <w:rPr>
                <w:sz w:val="20"/>
                <w:lang w:val="es-ES"/>
              </w:rPr>
            </w:pPr>
            <w:r w:rsidRPr="009B7CC5">
              <w:rPr>
                <w:sz w:val="20"/>
                <w:lang w:val="es-ES"/>
              </w:rPr>
              <w:t>Sustancias Químicas Industriales</w:t>
            </w:r>
          </w:p>
        </w:tc>
        <w:tc>
          <w:tcPr>
            <w:tcW w:w="4252" w:type="dxa"/>
            <w:tcBorders>
              <w:top w:val="none" w:sz="0" w:space="0" w:color="auto"/>
              <w:bottom w:val="none" w:sz="0" w:space="0" w:color="auto"/>
            </w:tcBorders>
          </w:tcPr>
          <w:p w:rsidR="0053303A" w:rsidRPr="009B7CC5" w:rsidRDefault="0057586A" w:rsidP="00606EAC">
            <w:pPr>
              <w:spacing w:after="0"/>
              <w:jc w:val="center"/>
              <w:cnfStyle w:val="000000100000" w:firstRow="0" w:lastRow="0" w:firstColumn="0" w:lastColumn="0" w:oddVBand="0" w:evenVBand="0" w:oddHBand="1" w:evenHBand="0" w:firstRowFirstColumn="0" w:firstRowLastColumn="0" w:lastRowFirstColumn="0" w:lastRowLastColumn="0"/>
              <w:rPr>
                <w:sz w:val="20"/>
                <w:lang w:val="es-ES"/>
              </w:rPr>
            </w:pPr>
            <w:r w:rsidRPr="009B7CC5">
              <w:rPr>
                <w:sz w:val="20"/>
                <w:lang w:val="es-ES"/>
              </w:rPr>
              <w:t>Estados Unidos, Japón</w:t>
            </w:r>
          </w:p>
        </w:tc>
      </w:tr>
      <w:tr w:rsidR="0053303A" w:rsidRPr="009B7CC5" w:rsidTr="00D667D6">
        <w:trPr>
          <w:jc w:val="center"/>
        </w:trPr>
        <w:tc>
          <w:tcPr>
            <w:cnfStyle w:val="001000000000" w:firstRow="0" w:lastRow="0" w:firstColumn="1" w:lastColumn="0" w:oddVBand="0" w:evenVBand="0" w:oddHBand="0" w:evenHBand="0" w:firstRowFirstColumn="0" w:firstRowLastColumn="0" w:lastRowFirstColumn="0" w:lastRowLastColumn="0"/>
            <w:tcW w:w="4536" w:type="dxa"/>
            <w:tcBorders>
              <w:right w:val="none" w:sz="0" w:space="0" w:color="auto"/>
            </w:tcBorders>
          </w:tcPr>
          <w:p w:rsidR="0053303A" w:rsidRPr="009B7CC5" w:rsidRDefault="0053303A" w:rsidP="00606EAC">
            <w:pPr>
              <w:spacing w:after="0"/>
              <w:jc w:val="both"/>
              <w:rPr>
                <w:sz w:val="20"/>
                <w:lang w:val="es-ES"/>
              </w:rPr>
            </w:pPr>
            <w:r w:rsidRPr="009B7CC5">
              <w:rPr>
                <w:sz w:val="20"/>
                <w:lang w:val="es-ES"/>
              </w:rPr>
              <w:t>Ácido Sulfúrico</w:t>
            </w:r>
          </w:p>
        </w:tc>
        <w:tc>
          <w:tcPr>
            <w:tcW w:w="4252" w:type="dxa"/>
          </w:tcPr>
          <w:p w:rsidR="0053303A" w:rsidRPr="009B7CC5" w:rsidRDefault="0053303A" w:rsidP="00606EAC">
            <w:pPr>
              <w:spacing w:after="0"/>
              <w:jc w:val="center"/>
              <w:cnfStyle w:val="000000000000" w:firstRow="0" w:lastRow="0" w:firstColumn="0" w:lastColumn="0" w:oddVBand="0" w:evenVBand="0" w:oddHBand="0" w:evenHBand="0" w:firstRowFirstColumn="0" w:firstRowLastColumn="0" w:lastRowFirstColumn="0" w:lastRowLastColumn="0"/>
              <w:rPr>
                <w:sz w:val="20"/>
                <w:lang w:val="es-ES"/>
              </w:rPr>
            </w:pPr>
            <w:r w:rsidRPr="009B7CC5">
              <w:rPr>
                <w:sz w:val="20"/>
                <w:lang w:val="es-ES"/>
              </w:rPr>
              <w:t>Perú, Japón, Corea del Sur</w:t>
            </w:r>
          </w:p>
        </w:tc>
      </w:tr>
    </w:tbl>
    <w:p w:rsidR="0053303A" w:rsidRPr="009B7CC5" w:rsidRDefault="0053303A" w:rsidP="00606EAC">
      <w:pPr>
        <w:autoSpaceDE w:val="0"/>
        <w:autoSpaceDN w:val="0"/>
        <w:adjustRightInd w:val="0"/>
        <w:spacing w:after="0"/>
        <w:ind w:firstLine="567"/>
        <w:rPr>
          <w:color w:val="000000"/>
          <w:sz w:val="16"/>
          <w:szCs w:val="16"/>
        </w:rPr>
      </w:pPr>
      <w:r w:rsidRPr="009B7CC5">
        <w:rPr>
          <w:color w:val="000000"/>
          <w:sz w:val="16"/>
          <w:szCs w:val="16"/>
        </w:rPr>
        <w:t>Fuente: Comisión Nacional de Energía, Banco Central</w:t>
      </w:r>
    </w:p>
    <w:p w:rsidR="0053303A" w:rsidRPr="009B7CC5" w:rsidRDefault="0053303A" w:rsidP="00606EAC">
      <w:pPr>
        <w:autoSpaceDE w:val="0"/>
        <w:autoSpaceDN w:val="0"/>
        <w:adjustRightInd w:val="0"/>
        <w:spacing w:after="0"/>
        <w:rPr>
          <w:i/>
          <w:color w:val="000000"/>
          <w:sz w:val="22"/>
          <w:szCs w:val="22"/>
        </w:rPr>
      </w:pPr>
    </w:p>
    <w:p w:rsidR="0053303A" w:rsidRPr="009B7CC5" w:rsidRDefault="0053303A" w:rsidP="00606EAC">
      <w:pPr>
        <w:autoSpaceDE w:val="0"/>
        <w:autoSpaceDN w:val="0"/>
        <w:adjustRightInd w:val="0"/>
        <w:jc w:val="both"/>
        <w:rPr>
          <w:sz w:val="22"/>
          <w:szCs w:val="22"/>
          <w:lang w:val="es-CL"/>
        </w:rPr>
      </w:pPr>
      <w:r w:rsidRPr="009B7CC5">
        <w:rPr>
          <w:sz w:val="22"/>
          <w:szCs w:val="22"/>
          <w:lang w:val="es-CL"/>
        </w:rPr>
        <w:t>A pesar</w:t>
      </w:r>
      <w:r w:rsidR="009B7CC5" w:rsidRPr="009B7CC5">
        <w:rPr>
          <w:sz w:val="22"/>
          <w:szCs w:val="22"/>
          <w:lang w:val="es-CL"/>
        </w:rPr>
        <w:t xml:space="preserve"> de </w:t>
      </w:r>
      <w:r w:rsidRPr="009B7CC5">
        <w:rPr>
          <w:sz w:val="22"/>
          <w:szCs w:val="22"/>
          <w:lang w:val="es-CL"/>
        </w:rPr>
        <w:t>que una parte de los países de origen de las importaciones no tienen implementado el sistema GHS (principalmente los de América del Sur), si existen otros como Estados Unidos, Japón y Corea del Sur que ya utilizan el etiquetado GHS, por lo que se hace primordial que el sector industria</w:t>
      </w:r>
      <w:r w:rsidR="00CD61BC" w:rsidRPr="009B7CC5">
        <w:rPr>
          <w:sz w:val="22"/>
          <w:szCs w:val="22"/>
          <w:lang w:val="es-CL"/>
        </w:rPr>
        <w:t>,</w:t>
      </w:r>
      <w:r w:rsidRPr="009B7CC5">
        <w:rPr>
          <w:sz w:val="22"/>
          <w:szCs w:val="22"/>
          <w:lang w:val="es-CL"/>
        </w:rPr>
        <w:t xml:space="preserve"> sobre todo</w:t>
      </w:r>
      <w:r w:rsidR="00CD61BC" w:rsidRPr="009B7CC5">
        <w:rPr>
          <w:sz w:val="22"/>
          <w:szCs w:val="22"/>
          <w:lang w:val="es-CL"/>
        </w:rPr>
        <w:t>,</w:t>
      </w:r>
      <w:r w:rsidRPr="009B7CC5">
        <w:rPr>
          <w:sz w:val="22"/>
          <w:szCs w:val="22"/>
          <w:lang w:val="es-CL"/>
        </w:rPr>
        <w:t xml:space="preserve"> cuente con actividades de capacitación y difusión </w:t>
      </w:r>
      <w:r w:rsidR="00D70B1F" w:rsidRPr="009B7CC5">
        <w:rPr>
          <w:sz w:val="22"/>
          <w:szCs w:val="22"/>
          <w:lang w:val="es-CL"/>
        </w:rPr>
        <w:t xml:space="preserve">para </w:t>
      </w:r>
      <w:r w:rsidR="00CD61BC" w:rsidRPr="009B7CC5">
        <w:rPr>
          <w:sz w:val="22"/>
          <w:szCs w:val="22"/>
          <w:lang w:val="es-CL"/>
        </w:rPr>
        <w:t xml:space="preserve">lograr </w:t>
      </w:r>
      <w:r w:rsidR="00D70B1F" w:rsidRPr="009B7CC5">
        <w:rPr>
          <w:sz w:val="22"/>
          <w:szCs w:val="22"/>
          <w:lang w:val="es-CL"/>
        </w:rPr>
        <w:t xml:space="preserve">la implementación del GHS </w:t>
      </w:r>
      <w:r w:rsidRPr="009B7CC5">
        <w:rPr>
          <w:sz w:val="22"/>
          <w:szCs w:val="22"/>
          <w:lang w:val="es-CL"/>
        </w:rPr>
        <w:t>en el corto plazo.</w:t>
      </w:r>
    </w:p>
    <w:p w:rsidR="001D2754" w:rsidRPr="009B7CC5" w:rsidRDefault="001D2754" w:rsidP="00872364">
      <w:pPr>
        <w:pStyle w:val="Heading3"/>
        <w:spacing w:after="180" w:line="264" w:lineRule="auto"/>
        <w:ind w:left="709"/>
        <w:rPr>
          <w:rFonts w:eastAsia="Times New Roman"/>
          <w:color w:val="000000"/>
          <w:kern w:val="0"/>
          <w:lang w:val="es-ES" w:eastAsia="es-ES"/>
        </w:rPr>
      </w:pPr>
      <w:bookmarkStart w:id="94" w:name="_Toc418168891"/>
      <w:r w:rsidRPr="009B7CC5">
        <w:rPr>
          <w:rFonts w:eastAsia="Times New Roman"/>
          <w:color w:val="000000"/>
          <w:kern w:val="0"/>
          <w:lang w:val="es-ES" w:eastAsia="es-ES"/>
        </w:rPr>
        <w:t>Preocupaciones Prioritarias Relacionadas con</w:t>
      </w:r>
      <w:r w:rsidR="00DA1358" w:rsidRPr="009B7CC5">
        <w:rPr>
          <w:rFonts w:eastAsia="Times New Roman"/>
          <w:color w:val="000000"/>
          <w:kern w:val="0"/>
          <w:lang w:val="es-ES" w:eastAsia="es-ES"/>
        </w:rPr>
        <w:t xml:space="preserve"> la</w:t>
      </w:r>
      <w:r w:rsidRPr="009B7CC5">
        <w:rPr>
          <w:rFonts w:eastAsia="Times New Roman"/>
          <w:color w:val="000000"/>
          <w:kern w:val="0"/>
          <w:lang w:val="es-ES" w:eastAsia="es-ES"/>
        </w:rPr>
        <w:t xml:space="preserve"> Producción, Importación, Exportación </w:t>
      </w:r>
      <w:r w:rsidR="00C80B1E">
        <w:rPr>
          <w:rFonts w:eastAsia="Times New Roman"/>
          <w:color w:val="000000"/>
          <w:kern w:val="0"/>
          <w:lang w:eastAsia="es-ES"/>
        </w:rPr>
        <w:t xml:space="preserve">y Uso </w:t>
      </w:r>
      <w:r w:rsidRPr="009B7CC5">
        <w:rPr>
          <w:rFonts w:eastAsia="Times New Roman"/>
          <w:color w:val="000000"/>
          <w:kern w:val="0"/>
          <w:lang w:val="es-ES" w:eastAsia="es-ES"/>
        </w:rPr>
        <w:t xml:space="preserve">de </w:t>
      </w:r>
      <w:r w:rsidR="00DA1358" w:rsidRPr="009B7CC5">
        <w:rPr>
          <w:rFonts w:eastAsia="Times New Roman"/>
          <w:color w:val="000000"/>
          <w:kern w:val="0"/>
          <w:lang w:val="es-ES" w:eastAsia="es-ES"/>
        </w:rPr>
        <w:t>Sustancias Químicas</w:t>
      </w:r>
      <w:bookmarkEnd w:id="94"/>
    </w:p>
    <w:p w:rsidR="008D34A2" w:rsidRPr="008D34A2" w:rsidRDefault="008D34A2" w:rsidP="00606EAC">
      <w:pPr>
        <w:jc w:val="both"/>
        <w:rPr>
          <w:sz w:val="22"/>
          <w:szCs w:val="22"/>
        </w:rPr>
      </w:pPr>
      <w:r>
        <w:rPr>
          <w:sz w:val="22"/>
          <w:szCs w:val="22"/>
        </w:rPr>
        <w:t>A partir</w:t>
      </w:r>
      <w:r w:rsidR="0062101A" w:rsidRPr="009B7CC5">
        <w:rPr>
          <w:sz w:val="22"/>
          <w:szCs w:val="22"/>
        </w:rPr>
        <w:t xml:space="preserve"> de los</w:t>
      </w:r>
      <w:r w:rsidR="00321E51">
        <w:rPr>
          <w:sz w:val="22"/>
          <w:szCs w:val="22"/>
        </w:rPr>
        <w:t xml:space="preserve"> análisis y</w:t>
      </w:r>
      <w:r w:rsidR="0062101A" w:rsidRPr="009B7CC5">
        <w:rPr>
          <w:sz w:val="22"/>
          <w:szCs w:val="22"/>
        </w:rPr>
        <w:t xml:space="preserve"> comentarios realizados en este capítulo del Perfil Químico </w:t>
      </w:r>
      <w:r w:rsidR="00985073" w:rsidRPr="009B7CC5">
        <w:rPr>
          <w:sz w:val="22"/>
          <w:szCs w:val="22"/>
        </w:rPr>
        <w:t xml:space="preserve">Nacional </w:t>
      </w:r>
      <w:r w:rsidR="0062101A" w:rsidRPr="009B7CC5">
        <w:rPr>
          <w:sz w:val="22"/>
          <w:szCs w:val="22"/>
        </w:rPr>
        <w:t xml:space="preserve">del año 2008, </w:t>
      </w:r>
      <w:r>
        <w:rPr>
          <w:sz w:val="22"/>
          <w:szCs w:val="22"/>
        </w:rPr>
        <w:t>se establecieron las siguientes condiciones: i) En el país existe cierta información disponible sobre sustancias químicas y residuos que sirve para priorizar temas de gestión de los mismos, ii)</w:t>
      </w:r>
      <w:r w:rsidR="00061903">
        <w:rPr>
          <w:sz w:val="22"/>
          <w:szCs w:val="22"/>
        </w:rPr>
        <w:t xml:space="preserve"> Se ha procedido a aplicar medidas de mitigación y acciones tendientes a solucionar los impactos de los proceso productivos (Acuerdos de Producción Limpia, Responsabilidad Social Empresarial, etc) por parte del sector privado y iii) Se han desarrollado regulaciones para disminuir la contaminación  del aire y agua principalmente.</w:t>
      </w:r>
    </w:p>
    <w:p w:rsidR="0062101A" w:rsidRPr="00061903" w:rsidRDefault="00061903" w:rsidP="00606EAC">
      <w:pPr>
        <w:jc w:val="both"/>
        <w:rPr>
          <w:sz w:val="22"/>
          <w:szCs w:val="22"/>
        </w:rPr>
      </w:pPr>
      <w:r>
        <w:rPr>
          <w:sz w:val="22"/>
          <w:szCs w:val="22"/>
        </w:rPr>
        <w:t xml:space="preserve">Sin embargo, también </w:t>
      </w:r>
      <w:r w:rsidR="0062101A" w:rsidRPr="009B7CC5">
        <w:rPr>
          <w:sz w:val="22"/>
          <w:szCs w:val="22"/>
        </w:rPr>
        <w:t>se</w:t>
      </w:r>
      <w:r>
        <w:rPr>
          <w:sz w:val="22"/>
          <w:szCs w:val="22"/>
        </w:rPr>
        <w:t xml:space="preserve"> mencionan</w:t>
      </w:r>
      <w:r w:rsidR="0062101A" w:rsidRPr="009B7CC5">
        <w:rPr>
          <w:sz w:val="22"/>
          <w:szCs w:val="22"/>
        </w:rPr>
        <w:t xml:space="preserve"> algunas recomendaciones para mejorar la gestión y planificación del ciclo de vida de las</w:t>
      </w:r>
      <w:r>
        <w:rPr>
          <w:sz w:val="22"/>
          <w:szCs w:val="22"/>
        </w:rPr>
        <w:t xml:space="preserve"> sustancias químicas en el país, detalladas a continuación junto con los posibles avances que podría haber registrado:</w:t>
      </w:r>
    </w:p>
    <w:p w:rsidR="008141BF" w:rsidRPr="008141BF" w:rsidRDefault="0062101A" w:rsidP="00D4302C">
      <w:pPr>
        <w:pStyle w:val="ListParagraph"/>
        <w:numPr>
          <w:ilvl w:val="0"/>
          <w:numId w:val="56"/>
        </w:numPr>
        <w:contextualSpacing w:val="0"/>
        <w:jc w:val="both"/>
        <w:rPr>
          <w:b/>
          <w:sz w:val="22"/>
          <w:szCs w:val="22"/>
          <w:u w:val="single"/>
        </w:rPr>
      </w:pPr>
      <w:r w:rsidRPr="009B7CC5">
        <w:rPr>
          <w:b/>
          <w:sz w:val="22"/>
          <w:szCs w:val="22"/>
          <w:u w:val="single"/>
        </w:rPr>
        <w:t>Actualización de inventarios sobre sustancias químicas</w:t>
      </w:r>
      <w:r w:rsidRPr="009B7CC5">
        <w:rPr>
          <w:sz w:val="22"/>
          <w:szCs w:val="22"/>
        </w:rPr>
        <w:t>: En este punto no se han registrado mayores avances en los últimos años. Los últimos antecedentes sobre elaboración de inventarios datan del año 2009 cuando se realizó el proyecto del Ministerio de Medio Ambiente “Elaboración de un catastro nacional y mapa de riesgos de la industria química” donde se recopiló información básica sobre producción, almacenamiento y transporte de algunas sustancias químicas principalmente para identificar las instalaciones que realizan estas actividades. La importancia de esta información para la implementación del sistema GHS radica en la necesidad de conocer en detalle cuáles son las sustan</w:t>
      </w:r>
      <w:r w:rsidR="00693D6D" w:rsidRPr="009B7CC5">
        <w:rPr>
          <w:sz w:val="22"/>
          <w:szCs w:val="22"/>
        </w:rPr>
        <w:t>cias que se manejan en el país,</w:t>
      </w:r>
      <w:r w:rsidRPr="009B7CC5">
        <w:rPr>
          <w:sz w:val="22"/>
          <w:szCs w:val="22"/>
        </w:rPr>
        <w:t xml:space="preserve"> cuáles de ellas ya cuentan con informaci</w:t>
      </w:r>
      <w:r w:rsidR="00693D6D" w:rsidRPr="009B7CC5">
        <w:rPr>
          <w:sz w:val="22"/>
          <w:szCs w:val="22"/>
        </w:rPr>
        <w:t xml:space="preserve">ón de clasificación y cuáles no y así decidir con mayores antecedentes cuáles clasificaciones sería recomendable </w:t>
      </w:r>
      <w:r w:rsidR="00C7682C" w:rsidRPr="009B7CC5">
        <w:rPr>
          <w:sz w:val="22"/>
          <w:szCs w:val="22"/>
        </w:rPr>
        <w:t>adoptar. Cabe señalar que</w:t>
      </w:r>
      <w:r w:rsidR="00693D6D" w:rsidRPr="009B7CC5">
        <w:rPr>
          <w:sz w:val="22"/>
          <w:szCs w:val="22"/>
        </w:rPr>
        <w:t xml:space="preserve"> sólo el Sector Plagu</w:t>
      </w:r>
      <w:r w:rsidR="00FE4FE8" w:rsidRPr="009B7CC5">
        <w:rPr>
          <w:sz w:val="22"/>
          <w:szCs w:val="22"/>
        </w:rPr>
        <w:t>i</w:t>
      </w:r>
      <w:r w:rsidR="00693D6D" w:rsidRPr="009B7CC5">
        <w:rPr>
          <w:sz w:val="22"/>
          <w:szCs w:val="22"/>
        </w:rPr>
        <w:t>cidas</w:t>
      </w:r>
      <w:r w:rsidR="008141BF">
        <w:rPr>
          <w:sz w:val="22"/>
          <w:szCs w:val="22"/>
        </w:rPr>
        <w:t>, tanto de uso agrícola, como de uso sanitario y doméstico (incluidos los desinfectantes) cuentan con</w:t>
      </w:r>
      <w:r w:rsidR="00E25AB2">
        <w:rPr>
          <w:sz w:val="22"/>
          <w:szCs w:val="22"/>
        </w:rPr>
        <w:t xml:space="preserve"> registro sanitario.</w:t>
      </w:r>
    </w:p>
    <w:p w:rsidR="0062101A" w:rsidRPr="009B7CC5" w:rsidRDefault="0062101A" w:rsidP="00D4302C">
      <w:pPr>
        <w:pStyle w:val="ListParagraph"/>
        <w:numPr>
          <w:ilvl w:val="0"/>
          <w:numId w:val="56"/>
        </w:numPr>
        <w:spacing w:after="0"/>
        <w:jc w:val="both"/>
        <w:rPr>
          <w:b/>
          <w:sz w:val="22"/>
          <w:szCs w:val="22"/>
          <w:u w:val="single"/>
        </w:rPr>
      </w:pPr>
      <w:r w:rsidRPr="009B7CC5">
        <w:rPr>
          <w:b/>
          <w:sz w:val="22"/>
          <w:szCs w:val="22"/>
          <w:u w:val="single"/>
        </w:rPr>
        <w:t>Elaboración de catastros sobre los contaminantes químicos más importantes:</w:t>
      </w:r>
      <w:r w:rsidRPr="009B7CC5">
        <w:rPr>
          <w:sz w:val="22"/>
          <w:szCs w:val="22"/>
        </w:rPr>
        <w:t xml:space="preserve"> Esta actividad tampoco ha registrado avances relevantes a la fecha. La relevancia de este tipo de información se basa en establecer planes de manejo eficientes de estos productos en relación a su producción, almacenamiento y transporte e identificar aquellos grupos que están mayormente expuestos a ellos, con el fin de informar y capacitar sobre los riesgos asociados que conllevan.</w:t>
      </w:r>
      <w:r w:rsidR="00693D6D" w:rsidRPr="009B7CC5">
        <w:rPr>
          <w:sz w:val="22"/>
          <w:szCs w:val="22"/>
        </w:rPr>
        <w:t xml:space="preserve"> </w:t>
      </w:r>
    </w:p>
    <w:p w:rsidR="0062101A" w:rsidRPr="009B7CC5" w:rsidRDefault="0062101A" w:rsidP="00606EAC">
      <w:pPr>
        <w:spacing w:after="0"/>
        <w:jc w:val="both"/>
        <w:rPr>
          <w:b/>
          <w:sz w:val="22"/>
          <w:szCs w:val="22"/>
          <w:u w:val="single"/>
        </w:rPr>
      </w:pPr>
    </w:p>
    <w:p w:rsidR="0062101A" w:rsidRPr="009B7CC5" w:rsidRDefault="0062101A" w:rsidP="00D4302C">
      <w:pPr>
        <w:pStyle w:val="ListParagraph"/>
        <w:numPr>
          <w:ilvl w:val="0"/>
          <w:numId w:val="56"/>
        </w:numPr>
        <w:spacing w:after="0"/>
        <w:jc w:val="both"/>
        <w:rPr>
          <w:b/>
          <w:sz w:val="22"/>
          <w:szCs w:val="22"/>
          <w:u w:val="single"/>
        </w:rPr>
      </w:pPr>
      <w:r w:rsidRPr="009B7CC5">
        <w:rPr>
          <w:b/>
          <w:sz w:val="22"/>
          <w:szCs w:val="22"/>
          <w:u w:val="single"/>
        </w:rPr>
        <w:t>Aumento de información sobre fuentes de contaminación</w:t>
      </w:r>
      <w:r w:rsidRPr="009B7CC5">
        <w:rPr>
          <w:sz w:val="22"/>
          <w:szCs w:val="22"/>
        </w:rPr>
        <w:t>: El sistema de Registro de Emisiones y Transferencia de Contaminantes (RETC) ha operado de manera  satisfactoria a través de los años, actualizando y adicionando in</w:t>
      </w:r>
      <w:r w:rsidR="00242363">
        <w:rPr>
          <w:sz w:val="22"/>
          <w:szCs w:val="22"/>
        </w:rPr>
        <w:t xml:space="preserve">formación sobre nuevas fuentes </w:t>
      </w:r>
      <w:r w:rsidRPr="009B7CC5">
        <w:rPr>
          <w:sz w:val="22"/>
          <w:szCs w:val="22"/>
        </w:rPr>
        <w:t xml:space="preserve">de contaminación. Esta base de datos </w:t>
      </w:r>
      <w:r w:rsidRPr="009B7CC5">
        <w:rPr>
          <w:rFonts w:cs="Delicious"/>
          <w:color w:val="000000"/>
          <w:sz w:val="22"/>
          <w:szCs w:val="22"/>
        </w:rPr>
        <w:t>permite tener un panorama general respecto de las emisiones y transferencias al medio ambiente de sustancias químicas potencialmente dañinas y de los residuos peligrosos transportados para su tratamiento o disposición final.</w:t>
      </w:r>
    </w:p>
    <w:p w:rsidR="0062101A" w:rsidRPr="002A0F76" w:rsidRDefault="0062101A" w:rsidP="00606EAC">
      <w:pPr>
        <w:spacing w:after="0"/>
        <w:jc w:val="both"/>
        <w:rPr>
          <w:b/>
          <w:sz w:val="22"/>
          <w:szCs w:val="22"/>
          <w:u w:val="single"/>
        </w:rPr>
      </w:pPr>
    </w:p>
    <w:p w:rsidR="0062101A" w:rsidRPr="002A0F76" w:rsidRDefault="0062101A" w:rsidP="00D4302C">
      <w:pPr>
        <w:pStyle w:val="ListParagraph"/>
        <w:numPr>
          <w:ilvl w:val="0"/>
          <w:numId w:val="56"/>
        </w:numPr>
        <w:jc w:val="both"/>
        <w:rPr>
          <w:b/>
          <w:sz w:val="22"/>
          <w:szCs w:val="22"/>
          <w:u w:val="single"/>
        </w:rPr>
      </w:pPr>
      <w:r w:rsidRPr="002A0F76">
        <w:rPr>
          <w:b/>
          <w:sz w:val="22"/>
          <w:szCs w:val="22"/>
          <w:u w:val="single"/>
        </w:rPr>
        <w:t xml:space="preserve">Planes de manejo y gestión de sitios </w:t>
      </w:r>
      <w:r w:rsidR="002A0F76" w:rsidRPr="002A0F76">
        <w:rPr>
          <w:b/>
          <w:sz w:val="22"/>
          <w:szCs w:val="22"/>
          <w:u w:val="single"/>
        </w:rPr>
        <w:t xml:space="preserve">con </w:t>
      </w:r>
      <w:r w:rsidRPr="002A0F76">
        <w:rPr>
          <w:b/>
          <w:sz w:val="22"/>
          <w:szCs w:val="22"/>
          <w:u w:val="single"/>
        </w:rPr>
        <w:t>potencial</w:t>
      </w:r>
      <w:r w:rsidR="002A0F76" w:rsidRPr="002A0F76">
        <w:rPr>
          <w:b/>
          <w:sz w:val="22"/>
          <w:szCs w:val="22"/>
          <w:u w:val="single"/>
        </w:rPr>
        <w:t xml:space="preserve"> presencia de </w:t>
      </w:r>
      <w:r w:rsidRPr="002A0F76">
        <w:rPr>
          <w:b/>
          <w:sz w:val="22"/>
          <w:szCs w:val="22"/>
          <w:u w:val="single"/>
        </w:rPr>
        <w:t>contaminantes</w:t>
      </w:r>
      <w:r w:rsidRPr="002A0F76">
        <w:rPr>
          <w:sz w:val="22"/>
          <w:szCs w:val="22"/>
        </w:rPr>
        <w:t xml:space="preserve">: Desde la publicación del Perfil Químico en el año 2008, se han ido desarrollando diversos estudios sobre suelos potencialmente contaminados en distintas regiones que permiten generar medidas para mitigar los impactos de los contaminantes químicos en la salud de las personas y </w:t>
      </w:r>
      <w:r w:rsidR="002A0F76">
        <w:rPr>
          <w:sz w:val="22"/>
          <w:szCs w:val="22"/>
        </w:rPr>
        <w:t>los ecosistemas.</w:t>
      </w:r>
    </w:p>
    <w:p w:rsidR="0062101A" w:rsidRPr="00BA549F" w:rsidRDefault="0062101A" w:rsidP="00BA549F">
      <w:pPr>
        <w:ind w:right="85"/>
        <w:jc w:val="both"/>
        <w:rPr>
          <w:sz w:val="22"/>
          <w:szCs w:val="22"/>
          <w:lang w:val="es-CL"/>
        </w:rPr>
      </w:pPr>
      <w:r w:rsidRPr="00BA549F">
        <w:rPr>
          <w:sz w:val="22"/>
          <w:szCs w:val="22"/>
          <w:lang w:val="es-CL"/>
        </w:rPr>
        <w:t xml:space="preserve">La falta de desarrollo de </w:t>
      </w:r>
      <w:r w:rsidR="00500C32">
        <w:rPr>
          <w:sz w:val="22"/>
          <w:szCs w:val="22"/>
        </w:rPr>
        <w:t>algunas de estas</w:t>
      </w:r>
      <w:r w:rsidRPr="00BA549F">
        <w:rPr>
          <w:sz w:val="22"/>
          <w:szCs w:val="22"/>
          <w:lang w:val="es-CL"/>
        </w:rPr>
        <w:t xml:space="preserve"> actividades </w:t>
      </w:r>
      <w:r w:rsidR="00500C32">
        <w:rPr>
          <w:sz w:val="22"/>
          <w:szCs w:val="22"/>
        </w:rPr>
        <w:t xml:space="preserve">mencionadas </w:t>
      </w:r>
      <w:r w:rsidRPr="00BA549F">
        <w:rPr>
          <w:sz w:val="22"/>
          <w:szCs w:val="22"/>
          <w:lang w:val="es-CL"/>
        </w:rPr>
        <w:t>puede significar una deficiencia para la gestión de sustancias químicas en el país ya que son primordiales para conocer el nivel de riesgo al que está expuesto el sector industrial, transporte y consumidores.</w:t>
      </w:r>
    </w:p>
    <w:p w:rsidR="001D2754" w:rsidRPr="007647C6" w:rsidRDefault="001D2754" w:rsidP="00872364">
      <w:pPr>
        <w:pStyle w:val="Heading3"/>
        <w:spacing w:line="264" w:lineRule="auto"/>
        <w:ind w:left="709"/>
        <w:rPr>
          <w:rFonts w:eastAsia="Times New Roman"/>
          <w:color w:val="000000"/>
          <w:kern w:val="0"/>
          <w:lang w:val="es-ES" w:eastAsia="es-ES"/>
        </w:rPr>
      </w:pPr>
      <w:bookmarkStart w:id="95" w:name="_Toc418168892"/>
      <w:r w:rsidRPr="007647C6">
        <w:rPr>
          <w:rFonts w:eastAsia="Times New Roman"/>
          <w:color w:val="000000"/>
          <w:kern w:val="0"/>
          <w:lang w:val="es-ES" w:eastAsia="es-ES"/>
        </w:rPr>
        <w:t>Infraestructura Técnica</w:t>
      </w:r>
      <w:bookmarkEnd w:id="95"/>
    </w:p>
    <w:p w:rsidR="00693D6D" w:rsidRPr="007647C6" w:rsidRDefault="00693D6D" w:rsidP="00606EAC">
      <w:pPr>
        <w:jc w:val="both"/>
        <w:rPr>
          <w:sz w:val="22"/>
          <w:szCs w:val="22"/>
        </w:rPr>
      </w:pPr>
      <w:r w:rsidRPr="007647C6">
        <w:rPr>
          <w:sz w:val="22"/>
          <w:szCs w:val="22"/>
        </w:rPr>
        <w:t>Para elaborar una estrategia de implementación del GHS, es importante tener conocimiento sobre las capacidades analíticas de los laboratorios nacionales para realizar clasificaciones</w:t>
      </w:r>
      <w:r w:rsidR="00C910BD">
        <w:rPr>
          <w:sz w:val="22"/>
          <w:szCs w:val="22"/>
        </w:rPr>
        <w:t xml:space="preserve"> de peligros de productos químicos</w:t>
      </w:r>
      <w:r w:rsidRPr="007647C6">
        <w:rPr>
          <w:sz w:val="22"/>
          <w:szCs w:val="22"/>
        </w:rPr>
        <w:t>. Una de las conclusiones del Perfil Químico fue que a lo largo del país existen un amplio número de laboratorios de análisis químicos tanto en Universidades, sector privado y público, sin embargo, se observaban deficiencias en la capacidad analítica para algunos parámetros por motivos de una baja demanda en el mercado.</w:t>
      </w:r>
    </w:p>
    <w:p w:rsidR="00872578" w:rsidRPr="00C0032E" w:rsidRDefault="00693D6D" w:rsidP="00606EAC">
      <w:pPr>
        <w:jc w:val="both"/>
        <w:rPr>
          <w:color w:val="222222"/>
          <w:sz w:val="22"/>
          <w:szCs w:val="22"/>
        </w:rPr>
      </w:pPr>
      <w:r w:rsidRPr="007647C6">
        <w:rPr>
          <w:sz w:val="22"/>
          <w:szCs w:val="22"/>
        </w:rPr>
        <w:t>En la actualidad, a pesar que sigue existiendo la capacidad instalada de análisis físico-químicos de sustancias, en lo referente a análisis de toxicidad a la salud humana y</w:t>
      </w:r>
      <w:r w:rsidR="005C584D">
        <w:rPr>
          <w:sz w:val="22"/>
          <w:szCs w:val="22"/>
        </w:rPr>
        <w:t xml:space="preserve"> ensayos de</w:t>
      </w:r>
      <w:r w:rsidRPr="007647C6">
        <w:rPr>
          <w:sz w:val="22"/>
          <w:szCs w:val="22"/>
        </w:rPr>
        <w:t xml:space="preserve"> ecotoxicidad</w:t>
      </w:r>
      <w:r w:rsidR="00BA549F">
        <w:rPr>
          <w:sz w:val="22"/>
          <w:szCs w:val="22"/>
        </w:rPr>
        <w:t>,</w:t>
      </w:r>
      <w:r w:rsidR="00872578" w:rsidRPr="007647C6">
        <w:rPr>
          <w:sz w:val="22"/>
          <w:szCs w:val="22"/>
        </w:rPr>
        <w:t xml:space="preserve"> </w:t>
      </w:r>
      <w:r w:rsidRPr="007647C6">
        <w:rPr>
          <w:sz w:val="22"/>
          <w:szCs w:val="22"/>
        </w:rPr>
        <w:t xml:space="preserve">la capacidad de los laboratorios nacionales es limitada. </w:t>
      </w:r>
      <w:r w:rsidR="00872578" w:rsidRPr="007647C6">
        <w:rPr>
          <w:color w:val="222222"/>
          <w:sz w:val="22"/>
          <w:szCs w:val="22"/>
        </w:rPr>
        <w:t>Ahora bien, esta baja capacidad actual se relaciona con el hecho que la mayoría de las sustancias químicas puras que se utilizan en el país</w:t>
      </w:r>
      <w:r w:rsidR="008259EF" w:rsidRPr="007647C6">
        <w:rPr>
          <w:color w:val="222222"/>
          <w:sz w:val="22"/>
          <w:szCs w:val="22"/>
        </w:rPr>
        <w:t xml:space="preserve"> son importadas por lo tanto ya se encuentran clasificadas y</w:t>
      </w:r>
      <w:r w:rsidR="00872578" w:rsidRPr="007647C6">
        <w:rPr>
          <w:color w:val="222222"/>
          <w:sz w:val="22"/>
          <w:szCs w:val="22"/>
        </w:rPr>
        <w:t xml:space="preserve"> no ne</w:t>
      </w:r>
      <w:r w:rsidR="008259EF" w:rsidRPr="007647C6">
        <w:rPr>
          <w:color w:val="222222"/>
          <w:sz w:val="22"/>
          <w:szCs w:val="22"/>
        </w:rPr>
        <w:t>cesitaría clasificación nueva, y en el caso de sustancias producidas</w:t>
      </w:r>
      <w:r w:rsidR="00872578" w:rsidRPr="007647C6">
        <w:rPr>
          <w:color w:val="222222"/>
          <w:sz w:val="22"/>
          <w:szCs w:val="22"/>
        </w:rPr>
        <w:t>,</w:t>
      </w:r>
      <w:r w:rsidR="008259EF" w:rsidRPr="007647C6">
        <w:rPr>
          <w:color w:val="222222"/>
          <w:sz w:val="22"/>
          <w:szCs w:val="22"/>
        </w:rPr>
        <w:t xml:space="preserve"> en particular sustancias puras,</w:t>
      </w:r>
      <w:r w:rsidR="00872578" w:rsidRPr="007647C6">
        <w:rPr>
          <w:color w:val="222222"/>
          <w:sz w:val="22"/>
          <w:szCs w:val="22"/>
        </w:rPr>
        <w:t xml:space="preserve"> es más factible </w:t>
      </w:r>
      <w:r w:rsidR="008259EF" w:rsidRPr="007647C6">
        <w:rPr>
          <w:color w:val="222222"/>
          <w:sz w:val="22"/>
          <w:szCs w:val="22"/>
        </w:rPr>
        <w:t xml:space="preserve">en la mayoría de los casos </w:t>
      </w:r>
      <w:r w:rsidR="00872578" w:rsidRPr="007647C6">
        <w:rPr>
          <w:color w:val="222222"/>
          <w:sz w:val="22"/>
          <w:szCs w:val="22"/>
        </w:rPr>
        <w:t>realizarla en laboratorios externos que implementar los análisis en el país, es decir, no existe, actualmente, una motivación/demanda real para que surja nueva</w:t>
      </w:r>
      <w:r w:rsidR="004F138E" w:rsidRPr="007647C6">
        <w:rPr>
          <w:color w:val="222222"/>
          <w:sz w:val="22"/>
          <w:szCs w:val="22"/>
        </w:rPr>
        <w:t xml:space="preserve"> infraestructura especializada. </w:t>
      </w:r>
      <w:r w:rsidR="00872578" w:rsidRPr="007647C6">
        <w:rPr>
          <w:color w:val="222222"/>
          <w:sz w:val="22"/>
          <w:szCs w:val="22"/>
        </w:rPr>
        <w:t xml:space="preserve">Caso contrario sucedería con las mezclas o sustancias de composición variable (por ejemplo, los concentrados de cobre) donde si existe una demanda alta y por lo tanto existe una potencial necesidad de contar con capacidad analítica en el país. Es en este punto donde también se observa la necesidad de contar con inventarios de sustancias químicas en el país que permitan contar con información sobre </w:t>
      </w:r>
      <w:r w:rsidR="007647C6" w:rsidRPr="007647C6">
        <w:rPr>
          <w:color w:val="222222"/>
          <w:sz w:val="22"/>
          <w:szCs w:val="22"/>
        </w:rPr>
        <w:t>cuáles son las que se utilizan,</w:t>
      </w:r>
      <w:r w:rsidR="00872578" w:rsidRPr="007647C6">
        <w:rPr>
          <w:color w:val="222222"/>
          <w:sz w:val="22"/>
          <w:szCs w:val="22"/>
        </w:rPr>
        <w:t xml:space="preserve"> cuántas y cuáles ya cuentan con clasificación y si con la implementación del GHS surgirían los incentivos para </w:t>
      </w:r>
      <w:r w:rsidR="00872578" w:rsidRPr="00C0032E">
        <w:rPr>
          <w:color w:val="222222"/>
          <w:sz w:val="22"/>
          <w:szCs w:val="22"/>
        </w:rPr>
        <w:t>generar esta información en Chile.</w:t>
      </w:r>
    </w:p>
    <w:p w:rsidR="001D2754" w:rsidRPr="00C0032E" w:rsidRDefault="001D2754" w:rsidP="00872364">
      <w:pPr>
        <w:pStyle w:val="Heading3"/>
        <w:spacing w:line="264" w:lineRule="auto"/>
        <w:ind w:left="709" w:right="0"/>
        <w:rPr>
          <w:rFonts w:eastAsia="Times New Roman"/>
          <w:color w:val="000000"/>
          <w:kern w:val="0"/>
          <w:lang w:val="es-ES" w:eastAsia="es-ES"/>
        </w:rPr>
      </w:pPr>
      <w:bookmarkStart w:id="96" w:name="_Toc418168893"/>
      <w:r w:rsidRPr="00C0032E">
        <w:rPr>
          <w:rFonts w:eastAsia="Times New Roman"/>
          <w:color w:val="000000"/>
          <w:kern w:val="0"/>
          <w:lang w:val="es-ES" w:eastAsia="es-ES"/>
        </w:rPr>
        <w:t>Concientización / Entendimiento de los Trabajadores y el Público; Capacitación y Educación de Grupos Objetivo y Profesionales</w:t>
      </w:r>
      <w:bookmarkEnd w:id="96"/>
    </w:p>
    <w:p w:rsidR="00B745F7" w:rsidRPr="00C0032E" w:rsidRDefault="00B745F7" w:rsidP="00606EAC">
      <w:pPr>
        <w:jc w:val="both"/>
        <w:rPr>
          <w:sz w:val="22"/>
          <w:szCs w:val="22"/>
        </w:rPr>
      </w:pPr>
      <w:r w:rsidRPr="00C0032E">
        <w:rPr>
          <w:sz w:val="22"/>
          <w:szCs w:val="22"/>
        </w:rPr>
        <w:t>En los comentarios sobre este tema en el Perfil Químico, se señala que el Sector Público ha desarrollado diversos proyectos dedicados a la gestión de sustancias químicas, por ejemplo, reglamentaciones, análisis e inventarios de sustancias, sin embargo, se observaban deficiencias en el ámbito de divulgación de educación ambiental. En lo que respecta al Sector Privado,</w:t>
      </w:r>
      <w:r w:rsidR="00771F55">
        <w:rPr>
          <w:sz w:val="22"/>
          <w:szCs w:val="22"/>
        </w:rPr>
        <w:t xml:space="preserve"> en forma general,</w:t>
      </w:r>
      <w:r w:rsidRPr="00C0032E">
        <w:rPr>
          <w:sz w:val="22"/>
          <w:szCs w:val="22"/>
        </w:rPr>
        <w:t xml:space="preserve"> </w:t>
      </w:r>
      <w:r w:rsidR="00992F94">
        <w:rPr>
          <w:sz w:val="22"/>
          <w:szCs w:val="22"/>
        </w:rPr>
        <w:t xml:space="preserve">han hecho esfuerzos por difundir los </w:t>
      </w:r>
      <w:r w:rsidRPr="00C0032E">
        <w:rPr>
          <w:sz w:val="22"/>
          <w:szCs w:val="22"/>
        </w:rPr>
        <w:t xml:space="preserve">aspectos productivos, de seguridad y mitigación </w:t>
      </w:r>
      <w:r w:rsidR="00992F94">
        <w:rPr>
          <w:sz w:val="22"/>
          <w:szCs w:val="22"/>
        </w:rPr>
        <w:t>ambiental, pero no cuentan con un</w:t>
      </w:r>
      <w:r w:rsidRPr="00C0032E">
        <w:rPr>
          <w:sz w:val="22"/>
          <w:szCs w:val="22"/>
        </w:rPr>
        <w:t xml:space="preserve"> programa sistemático de aplicación nacional. </w:t>
      </w:r>
    </w:p>
    <w:p w:rsidR="00B745F7" w:rsidRDefault="00B745F7" w:rsidP="00606EAC">
      <w:pPr>
        <w:jc w:val="both"/>
        <w:rPr>
          <w:sz w:val="22"/>
          <w:szCs w:val="22"/>
        </w:rPr>
      </w:pPr>
      <w:r w:rsidRPr="00C0032E">
        <w:rPr>
          <w:sz w:val="22"/>
          <w:szCs w:val="22"/>
        </w:rPr>
        <w:t>En el tema de capacitaciones, se señala que las Mutuales de Seguridad son principales actores, entregando información y capacitación sobre seguridad química a sus afiliados, mientras que las asociaciones gremiales también desarrolla</w:t>
      </w:r>
      <w:r w:rsidR="000D4EC5">
        <w:rPr>
          <w:sz w:val="22"/>
          <w:szCs w:val="22"/>
        </w:rPr>
        <w:t>n</w:t>
      </w:r>
      <w:r w:rsidRPr="00C0032E">
        <w:rPr>
          <w:sz w:val="22"/>
          <w:szCs w:val="22"/>
        </w:rPr>
        <w:t xml:space="preserve"> Talleres de Seguridad e Involucramiento con la Comunidad como una forma de dar cumplimiento con el compromiso de “Conducta Responsable”.</w:t>
      </w:r>
    </w:p>
    <w:p w:rsidR="00C0032E" w:rsidRPr="00C0032E" w:rsidRDefault="00F47C0F" w:rsidP="00606EAC">
      <w:pPr>
        <w:jc w:val="both"/>
        <w:rPr>
          <w:sz w:val="22"/>
          <w:szCs w:val="22"/>
          <w:highlight w:val="yellow"/>
        </w:rPr>
      </w:pPr>
      <w:r>
        <w:rPr>
          <w:sz w:val="22"/>
          <w:szCs w:val="22"/>
        </w:rPr>
        <w:t>Estos aspectos se han mantenido en el tiempo, aumentando la conciencia sobre los riesgos asociados a una mal</w:t>
      </w:r>
      <w:r w:rsidR="00A309D6">
        <w:rPr>
          <w:sz w:val="22"/>
          <w:szCs w:val="22"/>
        </w:rPr>
        <w:t>a</w:t>
      </w:r>
      <w:r>
        <w:rPr>
          <w:sz w:val="22"/>
          <w:szCs w:val="22"/>
        </w:rPr>
        <w:t xml:space="preserve"> gestión de las sustancias químicas tanto en el sector público como privado. Por ejemplo, </w:t>
      </w:r>
      <w:r w:rsidR="00B745F7" w:rsidRPr="00C0032E">
        <w:rPr>
          <w:sz w:val="22"/>
          <w:szCs w:val="22"/>
        </w:rPr>
        <w:t>en lo que concierne al Sector Industria, las actividades de capacitación</w:t>
      </w:r>
      <w:r w:rsidR="00771F55">
        <w:rPr>
          <w:sz w:val="22"/>
          <w:szCs w:val="22"/>
        </w:rPr>
        <w:t xml:space="preserve"> que se desarrollan</w:t>
      </w:r>
      <w:r w:rsidR="00B745F7" w:rsidRPr="00C0032E">
        <w:rPr>
          <w:sz w:val="22"/>
          <w:szCs w:val="22"/>
        </w:rPr>
        <w:t xml:space="preserve"> están enfocadas principalmente en temas específicos dependiendo de las necesidades de cada empresa. La existencia de Acuerdos de Producción Limpia en un sector en particular ha establecido programas más permanentes de capacitación sobre peligros químicos y se han mantenido las actividades sobre comunicación de peligros como parte del plan de trabajo </w:t>
      </w:r>
      <w:r w:rsidR="00B745F7" w:rsidRPr="00721BA6">
        <w:rPr>
          <w:sz w:val="22"/>
          <w:szCs w:val="22"/>
        </w:rPr>
        <w:t>de la gestión de Conducta Responsable.</w:t>
      </w:r>
      <w:r w:rsidR="00C0032E" w:rsidRPr="00721BA6">
        <w:rPr>
          <w:sz w:val="22"/>
          <w:szCs w:val="22"/>
        </w:rPr>
        <w:t xml:space="preserve"> Por ejemplo, la Asociación Nacional de Fabricantes e Importadores de Productos Fitosanitarios Agrícolas (AFIPA) posee un plan de capacitación </w:t>
      </w:r>
      <w:r w:rsidR="00721BA6">
        <w:rPr>
          <w:sz w:val="22"/>
          <w:szCs w:val="22"/>
        </w:rPr>
        <w:t xml:space="preserve">enfocados </w:t>
      </w:r>
      <w:r w:rsidR="00C0032E" w:rsidRPr="00C0032E">
        <w:rPr>
          <w:rFonts w:eastAsia="Times New Roman" w:cs="Arial"/>
          <w:kern w:val="0"/>
          <w:sz w:val="22"/>
          <w:szCs w:val="22"/>
          <w:lang w:val="es-ES" w:eastAsia="es-ES"/>
        </w:rPr>
        <w:t>en todos los niveles a fin de promover el manejo adecuado y el uso eficiente de los productos fitosanitarios. Anualmente realiza alrededor de 3.700 capacitaciones a trabajadores agrícolas, estudiantes y comunidad, con el objetivo de minimizar riesgos en la salud y el ambiente.</w:t>
      </w:r>
      <w:r w:rsidR="00C0032E">
        <w:rPr>
          <w:sz w:val="22"/>
          <w:szCs w:val="22"/>
        </w:rPr>
        <w:t xml:space="preserve"> </w:t>
      </w:r>
    </w:p>
    <w:p w:rsidR="00B745F7" w:rsidRPr="00395713" w:rsidRDefault="00B745F7" w:rsidP="00606EAC">
      <w:pPr>
        <w:jc w:val="both"/>
        <w:rPr>
          <w:sz w:val="22"/>
          <w:szCs w:val="22"/>
        </w:rPr>
      </w:pPr>
      <w:r w:rsidRPr="00395713">
        <w:rPr>
          <w:sz w:val="22"/>
          <w:szCs w:val="22"/>
        </w:rPr>
        <w:t xml:space="preserve">En el sector público, por otra parte, las actividades de capacitación también se desarrollan dependiendo de las necesidades de algún sector, </w:t>
      </w:r>
      <w:r w:rsidR="00F47C0F">
        <w:rPr>
          <w:sz w:val="22"/>
          <w:szCs w:val="22"/>
        </w:rPr>
        <w:t xml:space="preserve">pero existe deficiencia pues no se </w:t>
      </w:r>
      <w:r w:rsidRPr="00395713">
        <w:rPr>
          <w:sz w:val="22"/>
          <w:szCs w:val="22"/>
        </w:rPr>
        <w:t>cuenta con programas a largo plazo si no que mayoritariamente están incluidos en planes de trabajo anuales.</w:t>
      </w:r>
    </w:p>
    <w:p w:rsidR="001D2754" w:rsidRPr="00395713" w:rsidRDefault="001D2754" w:rsidP="00872364">
      <w:pPr>
        <w:pStyle w:val="Heading3"/>
        <w:spacing w:line="264" w:lineRule="auto"/>
        <w:ind w:left="709" w:right="0"/>
        <w:rPr>
          <w:rFonts w:eastAsia="Times New Roman"/>
          <w:color w:val="000000"/>
          <w:kern w:val="0"/>
          <w:lang w:val="es-ES" w:eastAsia="es-ES"/>
        </w:rPr>
      </w:pPr>
      <w:bookmarkStart w:id="97" w:name="_Toc418168894"/>
      <w:r w:rsidRPr="00395713">
        <w:rPr>
          <w:rFonts w:eastAsia="Times New Roman"/>
          <w:color w:val="000000"/>
          <w:kern w:val="0"/>
          <w:lang w:val="es-ES" w:eastAsia="es-ES"/>
        </w:rPr>
        <w:t>Recursos necesarios y disponibles para la Gestión de Sustancias Químicas</w:t>
      </w:r>
      <w:bookmarkEnd w:id="97"/>
    </w:p>
    <w:p w:rsidR="008B6098" w:rsidRPr="00395713" w:rsidRDefault="008B6098" w:rsidP="00606EAC">
      <w:pPr>
        <w:jc w:val="both"/>
        <w:rPr>
          <w:sz w:val="22"/>
          <w:szCs w:val="22"/>
        </w:rPr>
      </w:pPr>
      <w:r w:rsidRPr="00395713">
        <w:rPr>
          <w:sz w:val="22"/>
          <w:szCs w:val="22"/>
        </w:rPr>
        <w:t>En este tema, se señalan principalmente los recursos humanos destinados a cumplir con responsabilidades relacionadas con la gestión de sustancias químicas, tanto por parte del Gobierno como Instituciones No Gubernamentales. Entre los comentarios realizados en el Perfil se señala que existe una capacidad técnica disponible que abarca profesionales de distintas áreas y que están enfocados a actividades de elaboración de normas, fiscalización de legislación, gestión e implementación de proyectos ambientales, entre otros.</w:t>
      </w:r>
    </w:p>
    <w:p w:rsidR="008B6098" w:rsidRPr="00395713" w:rsidRDefault="008B6098" w:rsidP="00606EAC">
      <w:pPr>
        <w:jc w:val="both"/>
        <w:rPr>
          <w:sz w:val="22"/>
          <w:szCs w:val="22"/>
        </w:rPr>
      </w:pPr>
      <w:r w:rsidRPr="00395713">
        <w:rPr>
          <w:sz w:val="22"/>
          <w:szCs w:val="22"/>
        </w:rPr>
        <w:t>Entre las deficiencias encontradas, destacan la necesidad de contar con mayor cantidad de recursos humanos para contar con mejor cobertura y fiscalización, mayor capacitación y entrenamiento del personal, reforzar laboratorios existentes y mejorar el manejo de datos e información generada.</w:t>
      </w:r>
    </w:p>
    <w:p w:rsidR="007926E6" w:rsidRDefault="008B6098" w:rsidP="00606EAC">
      <w:pPr>
        <w:jc w:val="both"/>
        <w:rPr>
          <w:sz w:val="22"/>
          <w:szCs w:val="22"/>
        </w:rPr>
      </w:pPr>
      <w:r w:rsidRPr="00395713">
        <w:rPr>
          <w:sz w:val="22"/>
          <w:szCs w:val="22"/>
        </w:rPr>
        <w:t>Actualmente, aún se observan vacíos en cuanto</w:t>
      </w:r>
      <w:r w:rsidR="007926E6">
        <w:rPr>
          <w:sz w:val="22"/>
          <w:szCs w:val="22"/>
        </w:rPr>
        <w:t xml:space="preserve"> a requerimientos de capacitación y entrenamiento del personal que trabaja en diversas áreas relacionadas con la gestión y manejo de sustancias químicas. Por ejemplo, en el ámbito público, existe déficit de personal existente capacitado en temas de fiscalización, especialmente en regiones, lo que merma la cobertura y eficacia de estas actividades.</w:t>
      </w:r>
      <w:r w:rsidR="00D4319F">
        <w:rPr>
          <w:sz w:val="22"/>
          <w:szCs w:val="22"/>
        </w:rPr>
        <w:t xml:space="preserve"> Por esta razón, sigue siendo necesario </w:t>
      </w:r>
      <w:r w:rsidR="00D4319F">
        <w:rPr>
          <w:rFonts w:eastAsia="Times New Roman" w:cs="Arial"/>
          <w:kern w:val="0"/>
          <w:sz w:val="22"/>
          <w:szCs w:val="22"/>
          <w:lang w:eastAsia="es-ES"/>
        </w:rPr>
        <w:t>reforzar el entrenamiento</w:t>
      </w:r>
      <w:r w:rsidR="00B3786D">
        <w:rPr>
          <w:rFonts w:eastAsia="Times New Roman" w:cs="Arial"/>
          <w:kern w:val="0"/>
          <w:sz w:val="22"/>
          <w:szCs w:val="22"/>
          <w:lang w:eastAsia="es-ES"/>
        </w:rPr>
        <w:t xml:space="preserve"> y aumentar el número</w:t>
      </w:r>
      <w:r w:rsidR="00D4319F">
        <w:rPr>
          <w:rFonts w:eastAsia="Times New Roman" w:cs="Arial"/>
          <w:kern w:val="0"/>
          <w:sz w:val="22"/>
          <w:szCs w:val="22"/>
          <w:lang w:eastAsia="es-ES"/>
        </w:rPr>
        <w:t xml:space="preserve"> de fiscalizadores</w:t>
      </w:r>
      <w:r w:rsidR="00B3786D">
        <w:rPr>
          <w:rFonts w:eastAsia="Times New Roman" w:cs="Arial"/>
          <w:kern w:val="0"/>
          <w:sz w:val="22"/>
          <w:szCs w:val="22"/>
          <w:lang w:eastAsia="es-ES"/>
        </w:rPr>
        <w:t xml:space="preserve"> a nivel nacional.</w:t>
      </w:r>
    </w:p>
    <w:p w:rsidR="008B6098" w:rsidRPr="007926E6" w:rsidRDefault="007926E6" w:rsidP="00606EAC">
      <w:pPr>
        <w:jc w:val="both"/>
        <w:rPr>
          <w:sz w:val="22"/>
          <w:szCs w:val="22"/>
        </w:rPr>
      </w:pPr>
      <w:r>
        <w:rPr>
          <w:sz w:val="22"/>
          <w:szCs w:val="22"/>
        </w:rPr>
        <w:t xml:space="preserve">En el sector privado, por otra parte, actualmente </w:t>
      </w:r>
      <w:r w:rsidR="008B6098" w:rsidRPr="00395713">
        <w:rPr>
          <w:sz w:val="22"/>
          <w:szCs w:val="22"/>
        </w:rPr>
        <w:t>existen recursos monetarios destinados a capacitaciones de trabajadores que manejan o están en contacto con sustancias químicas peligro</w:t>
      </w:r>
      <w:r>
        <w:rPr>
          <w:sz w:val="22"/>
          <w:szCs w:val="22"/>
        </w:rPr>
        <w:t>sas, pero los planes de trabajo son a corto plazo y puntuales, no obstante, estos recursos financieros, y así mismo los recursos humanos,</w:t>
      </w:r>
      <w:r w:rsidR="008B6098" w:rsidRPr="00395713">
        <w:rPr>
          <w:sz w:val="22"/>
          <w:szCs w:val="22"/>
        </w:rPr>
        <w:t xml:space="preserve"> son permanentes cuando existe algún tipo de comprom</w:t>
      </w:r>
      <w:r w:rsidR="000B7693">
        <w:rPr>
          <w:sz w:val="22"/>
          <w:szCs w:val="22"/>
        </w:rPr>
        <w:t>iso o acuerdo a nive</w:t>
      </w:r>
      <w:r>
        <w:rPr>
          <w:sz w:val="22"/>
          <w:szCs w:val="22"/>
        </w:rPr>
        <w:t xml:space="preserve">l sectorial. </w:t>
      </w:r>
      <w:r w:rsidR="00403CD6">
        <w:rPr>
          <w:sz w:val="22"/>
          <w:szCs w:val="22"/>
        </w:rPr>
        <w:t xml:space="preserve">Por </w:t>
      </w:r>
      <w:r w:rsidR="000B7693">
        <w:rPr>
          <w:sz w:val="22"/>
          <w:szCs w:val="22"/>
        </w:rPr>
        <w:t xml:space="preserve">ejemplo, en el sector de plaguicidas, </w:t>
      </w:r>
      <w:r w:rsidR="000B7693" w:rsidRPr="000B7693">
        <w:rPr>
          <w:sz w:val="22"/>
          <w:szCs w:val="22"/>
        </w:rPr>
        <w:t xml:space="preserve">AFIPA </w:t>
      </w:r>
      <w:r w:rsidR="000B7693">
        <w:rPr>
          <w:sz w:val="22"/>
          <w:szCs w:val="22"/>
        </w:rPr>
        <w:t>durante</w:t>
      </w:r>
      <w:r w:rsidR="000B7693" w:rsidRPr="000B7693">
        <w:rPr>
          <w:rFonts w:eastAsia="Times New Roman" w:cs="Arial"/>
          <w:kern w:val="0"/>
          <w:sz w:val="22"/>
          <w:szCs w:val="22"/>
          <w:lang w:val="es-ES" w:eastAsia="es-ES"/>
        </w:rPr>
        <w:t xml:space="preserve"> el período 2001 – 2012,</w:t>
      </w:r>
      <w:r w:rsidR="00C0032E" w:rsidRPr="000B7693">
        <w:rPr>
          <w:rFonts w:eastAsia="Times New Roman" w:cs="Arial"/>
          <w:kern w:val="0"/>
          <w:sz w:val="22"/>
          <w:szCs w:val="22"/>
          <w:lang w:val="es-ES" w:eastAsia="es-ES"/>
        </w:rPr>
        <w:t xml:space="preserve"> </w:t>
      </w:r>
      <w:r w:rsidR="00C0032E" w:rsidRPr="00C0032E">
        <w:rPr>
          <w:rFonts w:eastAsia="Times New Roman" w:cs="Arial"/>
          <w:kern w:val="0"/>
          <w:sz w:val="22"/>
          <w:szCs w:val="22"/>
          <w:lang w:val="es-ES" w:eastAsia="es-ES"/>
        </w:rPr>
        <w:t xml:space="preserve">capacitó a 45.242 personas, equivalentes a 277.928 horas hombre. El costo total equivale a $1.112 millones, de los cuales </w:t>
      </w:r>
      <w:r w:rsidR="000B7693" w:rsidRPr="000B7693">
        <w:rPr>
          <w:rFonts w:eastAsia="Times New Roman" w:cs="Arial"/>
          <w:kern w:val="0"/>
          <w:sz w:val="22"/>
          <w:szCs w:val="22"/>
          <w:lang w:val="es-ES" w:eastAsia="es-ES"/>
        </w:rPr>
        <w:t>esta asociación</w:t>
      </w:r>
      <w:r w:rsidR="00C0032E" w:rsidRPr="00C0032E">
        <w:rPr>
          <w:rFonts w:eastAsia="Times New Roman" w:cs="Arial"/>
          <w:kern w:val="0"/>
          <w:sz w:val="22"/>
          <w:szCs w:val="22"/>
          <w:lang w:val="es-ES" w:eastAsia="es-ES"/>
        </w:rPr>
        <w:t xml:space="preserve"> financió directamente el 80%, equivalente a $889 millones.</w:t>
      </w:r>
    </w:p>
    <w:p w:rsidR="007D1C08" w:rsidRPr="00395713" w:rsidRDefault="000C6F34" w:rsidP="00606EAC">
      <w:pPr>
        <w:jc w:val="both"/>
        <w:rPr>
          <w:sz w:val="22"/>
          <w:szCs w:val="22"/>
        </w:rPr>
      </w:pPr>
      <w:r>
        <w:rPr>
          <w:sz w:val="22"/>
          <w:szCs w:val="22"/>
        </w:rPr>
        <w:t>Finalmente, la actualización de información realizada en estos capítulos</w:t>
      </w:r>
      <w:r w:rsidR="0043238A" w:rsidRPr="00395713">
        <w:rPr>
          <w:sz w:val="22"/>
          <w:szCs w:val="22"/>
        </w:rPr>
        <w:t xml:space="preserve"> del Perfil Químico reforzará los contenidos incluidos en él </w:t>
      </w:r>
      <w:r w:rsidR="007D1C08" w:rsidRPr="00395713">
        <w:rPr>
          <w:sz w:val="22"/>
          <w:szCs w:val="22"/>
        </w:rPr>
        <w:t>para la elaboración del Análisis de Situación y Vacíos.</w:t>
      </w:r>
    </w:p>
    <w:p w:rsidR="00562C13" w:rsidRPr="00D3239D" w:rsidRDefault="00562C13" w:rsidP="00872364">
      <w:pPr>
        <w:pStyle w:val="Heading2"/>
        <w:spacing w:before="0" w:after="180"/>
        <w:ind w:left="0" w:firstLine="0"/>
        <w:rPr>
          <w:lang w:val="es-CL"/>
        </w:rPr>
      </w:pPr>
      <w:bookmarkStart w:id="98" w:name="_Toc418168895"/>
      <w:r w:rsidRPr="00D3239D">
        <w:rPr>
          <w:lang w:val="es-CL"/>
        </w:rPr>
        <w:t>Análisis de Situación</w:t>
      </w:r>
      <w:bookmarkEnd w:id="98"/>
      <w:r w:rsidRPr="00D3239D">
        <w:rPr>
          <w:lang w:val="es-CL"/>
        </w:rPr>
        <w:t xml:space="preserve"> </w:t>
      </w:r>
    </w:p>
    <w:p w:rsidR="0043238A" w:rsidRPr="00D3239D" w:rsidRDefault="0043238A" w:rsidP="00606EAC">
      <w:pPr>
        <w:jc w:val="both"/>
        <w:rPr>
          <w:sz w:val="22"/>
          <w:szCs w:val="22"/>
          <w:lang w:val="es-CL"/>
        </w:rPr>
      </w:pPr>
      <w:r w:rsidRPr="00D3239D">
        <w:rPr>
          <w:sz w:val="22"/>
          <w:szCs w:val="22"/>
          <w:lang w:val="es-CL"/>
        </w:rPr>
        <w:t>El análisis de situación y vacíos tiene por objetivo evaluar las capacidades, actividades, responsabilidades e infraestructura dentro del país en cada uno de los sectores involucrados,</w:t>
      </w:r>
      <w:r w:rsidR="00141B50" w:rsidRPr="00D3239D">
        <w:rPr>
          <w:sz w:val="22"/>
          <w:szCs w:val="22"/>
          <w:lang w:val="es-CL"/>
        </w:rPr>
        <w:t xml:space="preserve"> para identificar los desafíos y oportunidades presentes en ellos</w:t>
      </w:r>
      <w:r w:rsidRPr="00D3239D">
        <w:rPr>
          <w:sz w:val="22"/>
          <w:szCs w:val="22"/>
          <w:lang w:val="es-CL"/>
        </w:rPr>
        <w:t xml:space="preserve"> para lograr una implementación exitosa del sistema GHS. </w:t>
      </w:r>
    </w:p>
    <w:p w:rsidR="00695A7D" w:rsidRPr="00D3239D" w:rsidRDefault="00695A7D" w:rsidP="00872364">
      <w:pPr>
        <w:pStyle w:val="Heading3"/>
        <w:spacing w:after="180" w:line="264" w:lineRule="auto"/>
        <w:ind w:left="709"/>
      </w:pPr>
      <w:bookmarkStart w:id="99" w:name="_Toc418168896"/>
      <w:r w:rsidRPr="00D3239D">
        <w:t>Gobierno</w:t>
      </w:r>
      <w:bookmarkEnd w:id="99"/>
    </w:p>
    <w:p w:rsidR="002F6E51" w:rsidRPr="00D3239D" w:rsidRDefault="002F6E51" w:rsidP="00293B22">
      <w:pPr>
        <w:pStyle w:val="ListParagraph"/>
        <w:numPr>
          <w:ilvl w:val="0"/>
          <w:numId w:val="8"/>
        </w:numPr>
        <w:ind w:left="0" w:firstLine="0"/>
        <w:contextualSpacing w:val="0"/>
        <w:rPr>
          <w:b/>
          <w:i/>
          <w:sz w:val="22"/>
          <w:szCs w:val="22"/>
        </w:rPr>
      </w:pPr>
      <w:r w:rsidRPr="00D3239D">
        <w:rPr>
          <w:b/>
          <w:i/>
          <w:sz w:val="22"/>
          <w:szCs w:val="22"/>
        </w:rPr>
        <w:t xml:space="preserve">Información institucional y </w:t>
      </w:r>
      <w:r w:rsidR="00C41D33" w:rsidRPr="00D3239D">
        <w:rPr>
          <w:b/>
          <w:i/>
          <w:sz w:val="22"/>
          <w:szCs w:val="22"/>
        </w:rPr>
        <w:t>a</w:t>
      </w:r>
      <w:r w:rsidRPr="00D3239D">
        <w:rPr>
          <w:b/>
          <w:i/>
          <w:sz w:val="22"/>
          <w:szCs w:val="22"/>
        </w:rPr>
        <w:t>dministrativa</w:t>
      </w:r>
    </w:p>
    <w:p w:rsidR="00B52FA6" w:rsidRPr="00D3239D" w:rsidRDefault="00173BD2" w:rsidP="00606EAC">
      <w:pPr>
        <w:tabs>
          <w:tab w:val="left" w:pos="0"/>
        </w:tabs>
        <w:jc w:val="both"/>
        <w:rPr>
          <w:sz w:val="22"/>
          <w:szCs w:val="22"/>
        </w:rPr>
      </w:pPr>
      <w:r w:rsidRPr="00D3239D">
        <w:rPr>
          <w:sz w:val="22"/>
          <w:szCs w:val="22"/>
        </w:rPr>
        <w:t>En primer lugar,</w:t>
      </w:r>
      <w:r w:rsidR="00520D83" w:rsidRPr="00D3239D">
        <w:rPr>
          <w:sz w:val="22"/>
          <w:szCs w:val="22"/>
        </w:rPr>
        <w:t xml:space="preserve"> en lo que concierne a la responsabilidad </w:t>
      </w:r>
      <w:r w:rsidR="00CF42F2" w:rsidRPr="00D3239D">
        <w:rPr>
          <w:sz w:val="22"/>
          <w:szCs w:val="22"/>
        </w:rPr>
        <w:t xml:space="preserve">y coordinación </w:t>
      </w:r>
      <w:r w:rsidR="00520D83" w:rsidRPr="00D3239D">
        <w:rPr>
          <w:sz w:val="22"/>
          <w:szCs w:val="22"/>
        </w:rPr>
        <w:t>de la implementación del GHS en el país, ésta recae sobre el Ministerio de Salu</w:t>
      </w:r>
      <w:r w:rsidR="00654285" w:rsidRPr="00D3239D">
        <w:rPr>
          <w:sz w:val="22"/>
          <w:szCs w:val="22"/>
        </w:rPr>
        <w:t>d quien a</w:t>
      </w:r>
      <w:r w:rsidR="00CF42F2" w:rsidRPr="00D3239D">
        <w:rPr>
          <w:sz w:val="22"/>
          <w:szCs w:val="22"/>
        </w:rPr>
        <w:t>ctúa</w:t>
      </w:r>
      <w:r w:rsidR="00654285" w:rsidRPr="00D3239D">
        <w:rPr>
          <w:sz w:val="22"/>
          <w:szCs w:val="22"/>
        </w:rPr>
        <w:t xml:space="preserve"> como punto focal ante los organismos internacionales (UNITAR</w:t>
      </w:r>
      <w:r w:rsidR="008C2BDD" w:rsidRPr="00D3239D">
        <w:rPr>
          <w:sz w:val="22"/>
          <w:szCs w:val="22"/>
        </w:rPr>
        <w:t xml:space="preserve"> y SAICM</w:t>
      </w:r>
      <w:r w:rsidR="00654285" w:rsidRPr="00D3239D">
        <w:rPr>
          <w:sz w:val="22"/>
          <w:szCs w:val="22"/>
        </w:rPr>
        <w:t>).</w:t>
      </w:r>
    </w:p>
    <w:p w:rsidR="00EA4204" w:rsidRPr="00B858A6" w:rsidRDefault="00EA4204" w:rsidP="00606EAC">
      <w:pPr>
        <w:tabs>
          <w:tab w:val="left" w:pos="0"/>
        </w:tabs>
        <w:jc w:val="both"/>
        <w:rPr>
          <w:sz w:val="22"/>
          <w:szCs w:val="22"/>
        </w:rPr>
      </w:pPr>
      <w:r w:rsidRPr="00D3239D">
        <w:rPr>
          <w:sz w:val="22"/>
          <w:szCs w:val="22"/>
        </w:rPr>
        <w:t xml:space="preserve">A nivel institucional, </w:t>
      </w:r>
      <w:r w:rsidR="00C605AF" w:rsidRPr="00D3239D">
        <w:rPr>
          <w:sz w:val="22"/>
          <w:szCs w:val="22"/>
        </w:rPr>
        <w:t xml:space="preserve">dada la heterogeneidad de las sustancias manejadas en el país y </w:t>
      </w:r>
      <w:r w:rsidR="00C47091" w:rsidRPr="00D3239D">
        <w:rPr>
          <w:sz w:val="22"/>
          <w:szCs w:val="22"/>
        </w:rPr>
        <w:t xml:space="preserve">sus </w:t>
      </w:r>
      <w:r w:rsidR="00C605AF" w:rsidRPr="00D3239D">
        <w:rPr>
          <w:sz w:val="22"/>
          <w:szCs w:val="22"/>
        </w:rPr>
        <w:t xml:space="preserve">diversos usos respectivos, existe una participación amplia de </w:t>
      </w:r>
      <w:r w:rsidR="00C47091" w:rsidRPr="00D3239D">
        <w:rPr>
          <w:sz w:val="22"/>
          <w:szCs w:val="22"/>
        </w:rPr>
        <w:t>múltiples</w:t>
      </w:r>
      <w:r w:rsidR="00C605AF" w:rsidRPr="00D3239D">
        <w:rPr>
          <w:sz w:val="22"/>
          <w:szCs w:val="22"/>
        </w:rPr>
        <w:t xml:space="preserve"> </w:t>
      </w:r>
      <w:r w:rsidR="00391020" w:rsidRPr="00D3239D">
        <w:rPr>
          <w:sz w:val="22"/>
          <w:szCs w:val="22"/>
        </w:rPr>
        <w:t>i</w:t>
      </w:r>
      <w:r w:rsidR="00C605AF" w:rsidRPr="00D3239D">
        <w:rPr>
          <w:sz w:val="22"/>
          <w:szCs w:val="22"/>
        </w:rPr>
        <w:t>nstituciones del Estado</w:t>
      </w:r>
      <w:r w:rsidR="00391020" w:rsidRPr="00D3239D">
        <w:rPr>
          <w:sz w:val="22"/>
          <w:szCs w:val="22"/>
        </w:rPr>
        <w:t xml:space="preserve"> que realizan acciones reguladoras, de fiscalización y de control además de corresponder</w:t>
      </w:r>
      <w:r w:rsidR="00C47091" w:rsidRPr="00D3239D">
        <w:rPr>
          <w:sz w:val="22"/>
          <w:szCs w:val="22"/>
        </w:rPr>
        <w:t xml:space="preserve">le a él, </w:t>
      </w:r>
      <w:r w:rsidRPr="00D3239D">
        <w:rPr>
          <w:sz w:val="22"/>
          <w:szCs w:val="22"/>
        </w:rPr>
        <w:t xml:space="preserve">el establecimiento y mantenimiento de una infraestructura efectiva, legal e institucional, para la comunicación de peligros de sustancias </w:t>
      </w:r>
      <w:r w:rsidR="00621C3D">
        <w:rPr>
          <w:sz w:val="22"/>
          <w:szCs w:val="22"/>
        </w:rPr>
        <w:t xml:space="preserve">químicas </w:t>
      </w:r>
      <w:r w:rsidRPr="00D3239D">
        <w:rPr>
          <w:sz w:val="22"/>
          <w:szCs w:val="22"/>
        </w:rPr>
        <w:t xml:space="preserve">objeto de </w:t>
      </w:r>
      <w:r w:rsidR="00D3239D" w:rsidRPr="00D3239D">
        <w:rPr>
          <w:sz w:val="22"/>
          <w:szCs w:val="22"/>
        </w:rPr>
        <w:t xml:space="preserve">la </w:t>
      </w:r>
      <w:r w:rsidRPr="00D3239D">
        <w:rPr>
          <w:sz w:val="22"/>
          <w:szCs w:val="22"/>
        </w:rPr>
        <w:t xml:space="preserve">aplicación del </w:t>
      </w:r>
      <w:r w:rsidR="00B75E18" w:rsidRPr="00D3239D">
        <w:rPr>
          <w:sz w:val="22"/>
          <w:szCs w:val="22"/>
        </w:rPr>
        <w:t>GHS</w:t>
      </w:r>
      <w:r w:rsidR="00C47091" w:rsidRPr="00D3239D">
        <w:rPr>
          <w:sz w:val="22"/>
          <w:szCs w:val="22"/>
        </w:rPr>
        <w:t>.</w:t>
      </w:r>
      <w:r w:rsidRPr="00D3239D">
        <w:rPr>
          <w:sz w:val="22"/>
          <w:szCs w:val="22"/>
        </w:rPr>
        <w:t xml:space="preserve"> En este contexto nuestro país posee una estructura orgánica institucional pública con funciones y competencias para la implementación del </w:t>
      </w:r>
      <w:r w:rsidR="00B366C9" w:rsidRPr="00D3239D">
        <w:rPr>
          <w:sz w:val="22"/>
          <w:szCs w:val="22"/>
        </w:rPr>
        <w:t>GHS</w:t>
      </w:r>
      <w:r w:rsidRPr="00D3239D">
        <w:rPr>
          <w:sz w:val="22"/>
          <w:szCs w:val="22"/>
        </w:rPr>
        <w:t xml:space="preserve">, sin que sea necesaria la </w:t>
      </w:r>
      <w:r w:rsidRPr="00B858A6">
        <w:rPr>
          <w:sz w:val="22"/>
          <w:szCs w:val="22"/>
        </w:rPr>
        <w:t>creación de nuevos servicios</w:t>
      </w:r>
      <w:r w:rsidR="002F6E51" w:rsidRPr="00B858A6">
        <w:rPr>
          <w:sz w:val="22"/>
          <w:szCs w:val="22"/>
        </w:rPr>
        <w:t>.</w:t>
      </w:r>
    </w:p>
    <w:p w:rsidR="00391020" w:rsidRDefault="00391020" w:rsidP="00606EAC">
      <w:pPr>
        <w:jc w:val="both"/>
        <w:rPr>
          <w:sz w:val="22"/>
          <w:szCs w:val="22"/>
        </w:rPr>
      </w:pPr>
      <w:r w:rsidRPr="00B858A6">
        <w:rPr>
          <w:sz w:val="22"/>
          <w:szCs w:val="22"/>
        </w:rPr>
        <w:t>Son</w:t>
      </w:r>
      <w:r w:rsidR="00CF42F2" w:rsidRPr="00B858A6">
        <w:rPr>
          <w:sz w:val="22"/>
          <w:szCs w:val="22"/>
        </w:rPr>
        <w:t xml:space="preserve"> diversos los Ministerios</w:t>
      </w:r>
      <w:r w:rsidR="009258C4">
        <w:rPr>
          <w:sz w:val="22"/>
          <w:szCs w:val="22"/>
        </w:rPr>
        <w:t xml:space="preserve"> y</w:t>
      </w:r>
      <w:r w:rsidRPr="00B858A6">
        <w:rPr>
          <w:sz w:val="22"/>
          <w:szCs w:val="22"/>
        </w:rPr>
        <w:t xml:space="preserve"> Organismos Gubernamentales</w:t>
      </w:r>
      <w:r w:rsidR="00CF42F2" w:rsidRPr="00B858A6">
        <w:rPr>
          <w:sz w:val="22"/>
          <w:szCs w:val="22"/>
        </w:rPr>
        <w:t xml:space="preserve"> que tienen atribuciones legales</w:t>
      </w:r>
      <w:r w:rsidRPr="00B858A6">
        <w:rPr>
          <w:sz w:val="22"/>
          <w:szCs w:val="22"/>
        </w:rPr>
        <w:t xml:space="preserve"> y responsabilidades</w:t>
      </w:r>
      <w:r w:rsidR="00CF42F2" w:rsidRPr="00B858A6">
        <w:rPr>
          <w:sz w:val="22"/>
          <w:szCs w:val="22"/>
        </w:rPr>
        <w:t xml:space="preserve"> a lo largo del ciclo de vida de </w:t>
      </w:r>
      <w:r w:rsidRPr="00B858A6">
        <w:rPr>
          <w:sz w:val="22"/>
          <w:szCs w:val="22"/>
        </w:rPr>
        <w:t>diversas</w:t>
      </w:r>
      <w:r w:rsidR="00A73E57" w:rsidRPr="00B858A6">
        <w:rPr>
          <w:sz w:val="22"/>
          <w:szCs w:val="22"/>
        </w:rPr>
        <w:t xml:space="preserve"> </w:t>
      </w:r>
      <w:r w:rsidR="00CF42F2" w:rsidRPr="00B858A6">
        <w:rPr>
          <w:sz w:val="22"/>
          <w:szCs w:val="22"/>
        </w:rPr>
        <w:t>sustancias químicas</w:t>
      </w:r>
      <w:r w:rsidR="00127C74" w:rsidRPr="00B858A6">
        <w:rPr>
          <w:sz w:val="22"/>
          <w:szCs w:val="22"/>
        </w:rPr>
        <w:t xml:space="preserve">, realizando </w:t>
      </w:r>
      <w:r w:rsidR="00FA7345" w:rsidRPr="00B858A6">
        <w:rPr>
          <w:sz w:val="22"/>
          <w:szCs w:val="22"/>
        </w:rPr>
        <w:t>diversas actividades para aplicar, supervisar y dar cumplimiento a la legisl</w:t>
      </w:r>
      <w:r w:rsidR="00C62568" w:rsidRPr="00B858A6">
        <w:rPr>
          <w:sz w:val="22"/>
          <w:szCs w:val="22"/>
        </w:rPr>
        <w:t>a</w:t>
      </w:r>
      <w:r w:rsidR="00FA7345" w:rsidRPr="00B858A6">
        <w:rPr>
          <w:sz w:val="22"/>
          <w:szCs w:val="22"/>
        </w:rPr>
        <w:t>ción existente, información que se detalla</w:t>
      </w:r>
      <w:r w:rsidRPr="00B858A6">
        <w:rPr>
          <w:sz w:val="22"/>
          <w:szCs w:val="22"/>
        </w:rPr>
        <w:t xml:space="preserve"> a continuación:</w:t>
      </w:r>
    </w:p>
    <w:p w:rsidR="001A0893" w:rsidRPr="00B858A6" w:rsidRDefault="001A0893" w:rsidP="00293B22">
      <w:pPr>
        <w:pStyle w:val="ListParagraph"/>
        <w:numPr>
          <w:ilvl w:val="0"/>
          <w:numId w:val="9"/>
        </w:numPr>
        <w:ind w:left="0" w:firstLine="0"/>
        <w:jc w:val="both"/>
        <w:rPr>
          <w:b/>
          <w:sz w:val="22"/>
          <w:szCs w:val="22"/>
        </w:rPr>
      </w:pPr>
      <w:r w:rsidRPr="00B858A6">
        <w:rPr>
          <w:b/>
          <w:sz w:val="22"/>
          <w:szCs w:val="22"/>
        </w:rPr>
        <w:t>Ministerio de Medio Ambiente</w:t>
      </w:r>
    </w:p>
    <w:p w:rsidR="00B858A6" w:rsidRPr="00B858A6" w:rsidRDefault="00F168D8" w:rsidP="00606EAC">
      <w:pPr>
        <w:jc w:val="both"/>
        <w:rPr>
          <w:sz w:val="22"/>
          <w:szCs w:val="22"/>
        </w:rPr>
      </w:pPr>
      <w:r w:rsidRPr="00B858A6">
        <w:rPr>
          <w:sz w:val="22"/>
          <w:szCs w:val="22"/>
        </w:rPr>
        <w:t>El Ministerio de Medio Ambiente tiene responsabilidad indirecta sobre las diferentes etapas del ciclo de vida de las sustancias químicas peligrosas. Sus principales funciones relacionadas con el manejo de ellas son de carácter general</w:t>
      </w:r>
      <w:r w:rsidR="00621C3D">
        <w:rPr>
          <w:sz w:val="22"/>
          <w:szCs w:val="22"/>
        </w:rPr>
        <w:t>,</w:t>
      </w:r>
      <w:r w:rsidRPr="00B858A6">
        <w:rPr>
          <w:sz w:val="22"/>
          <w:szCs w:val="22"/>
        </w:rPr>
        <w:t xml:space="preserve"> al actuar como coordinador en materias ambientales y en el diseño y propuestas de políticas ambientales que otorgan fortalecimiento a los marcos normativos sectoriales </w:t>
      </w:r>
      <w:r w:rsidR="00621C3D">
        <w:rPr>
          <w:sz w:val="22"/>
          <w:szCs w:val="22"/>
        </w:rPr>
        <w:t>con el fin de potenciar</w:t>
      </w:r>
      <w:r w:rsidRPr="00B858A6">
        <w:rPr>
          <w:sz w:val="22"/>
          <w:szCs w:val="22"/>
        </w:rPr>
        <w:t xml:space="preserve"> la gestión de las sustancias químicas. </w:t>
      </w:r>
      <w:r w:rsidR="00B858A6" w:rsidRPr="00B858A6">
        <w:rPr>
          <w:sz w:val="22"/>
          <w:szCs w:val="22"/>
        </w:rPr>
        <w:t>De manera específica en el artículo 70, letra g</w:t>
      </w:r>
      <w:r w:rsidR="00621C3D">
        <w:rPr>
          <w:sz w:val="22"/>
          <w:szCs w:val="22"/>
        </w:rPr>
        <w:t>)</w:t>
      </w:r>
      <w:r w:rsidR="00B858A6" w:rsidRPr="00B858A6">
        <w:rPr>
          <w:sz w:val="22"/>
          <w:szCs w:val="22"/>
        </w:rPr>
        <w:t xml:space="preserve"> de la Ley 19.300 sobre Bases Generales del Medio Ambiente establece</w:t>
      </w:r>
      <w:r w:rsidR="00621C3D">
        <w:rPr>
          <w:sz w:val="22"/>
          <w:szCs w:val="22"/>
        </w:rPr>
        <w:t xml:space="preserve"> como función de este Ministerio</w:t>
      </w:r>
      <w:r w:rsidR="00B858A6" w:rsidRPr="00B858A6">
        <w:rPr>
          <w:sz w:val="22"/>
          <w:szCs w:val="22"/>
        </w:rPr>
        <w:t xml:space="preserve">: Proponer políticas y formular normas, planes y programas en materia de residuos y suelos contaminados, </w:t>
      </w:r>
      <w:r w:rsidR="00B858A6" w:rsidRPr="00B858A6">
        <w:rPr>
          <w:b/>
          <w:sz w:val="22"/>
          <w:szCs w:val="22"/>
        </w:rPr>
        <w:t>así como la evaluación del riesgo de productos químicos</w:t>
      </w:r>
      <w:r w:rsidR="00B858A6" w:rsidRPr="00B858A6">
        <w:rPr>
          <w:sz w:val="22"/>
          <w:szCs w:val="22"/>
        </w:rPr>
        <w:t>, organismos genéticamente modificados y otras sustancias que puedan afectar el medio ambiente, sin perjuicio de las atribuciones de otros organismos públicos en materia sanitaria. Por otra parte, a través del Servicio de Evaluación Ambiental, analiza el impacto relacionado con la producción, almacenamiento, transporte, disposición o reutilización de sustancias peligrosas respecto del medioambiente.</w:t>
      </w:r>
    </w:p>
    <w:p w:rsidR="004264EE" w:rsidRPr="00B858A6" w:rsidRDefault="004264EE" w:rsidP="00606EAC">
      <w:pPr>
        <w:contextualSpacing/>
        <w:jc w:val="both"/>
        <w:rPr>
          <w:sz w:val="22"/>
          <w:szCs w:val="22"/>
        </w:rPr>
      </w:pPr>
      <w:r w:rsidRPr="00B858A6">
        <w:rPr>
          <w:sz w:val="22"/>
          <w:szCs w:val="22"/>
        </w:rPr>
        <w:t>Las responsabilidades de este Ministerio respecto del ciclo de vida de las sustancias peligrosas son las siguientes:</w:t>
      </w:r>
    </w:p>
    <w:p w:rsidR="00EF3031" w:rsidRPr="00B858A6" w:rsidRDefault="00EF3031" w:rsidP="00D4302C">
      <w:pPr>
        <w:pStyle w:val="ListParagraph"/>
        <w:numPr>
          <w:ilvl w:val="0"/>
          <w:numId w:val="57"/>
        </w:numPr>
        <w:autoSpaceDE w:val="0"/>
        <w:autoSpaceDN w:val="0"/>
        <w:adjustRightInd w:val="0"/>
        <w:jc w:val="both"/>
        <w:rPr>
          <w:rFonts w:eastAsia="ArialMT" w:cs="ArialMT"/>
          <w:kern w:val="0"/>
          <w:sz w:val="22"/>
          <w:szCs w:val="22"/>
          <w:lang w:val="es-ES"/>
        </w:rPr>
      </w:pPr>
      <w:r w:rsidRPr="00B858A6">
        <w:rPr>
          <w:rFonts w:eastAsia="ArialMT" w:cs="ArialMT"/>
          <w:kern w:val="0"/>
          <w:sz w:val="22"/>
          <w:szCs w:val="22"/>
          <w:lang w:val="es-ES"/>
        </w:rPr>
        <w:t>Elaborar una política ambiental específica para las sustancias peligrosas en el contexto de la política ambiental para el desarrollo sustentable, y coordinar su implementación en el sistema nacional de gestión ambiental.</w:t>
      </w:r>
    </w:p>
    <w:p w:rsidR="00EF3031" w:rsidRPr="00B858A6" w:rsidRDefault="00EF3031" w:rsidP="00D4302C">
      <w:pPr>
        <w:pStyle w:val="ListParagraph"/>
        <w:numPr>
          <w:ilvl w:val="0"/>
          <w:numId w:val="57"/>
        </w:numPr>
        <w:autoSpaceDE w:val="0"/>
        <w:autoSpaceDN w:val="0"/>
        <w:adjustRightInd w:val="0"/>
        <w:jc w:val="both"/>
        <w:rPr>
          <w:rFonts w:eastAsia="ArialMT" w:cs="ArialMT"/>
          <w:kern w:val="0"/>
          <w:sz w:val="22"/>
          <w:szCs w:val="22"/>
          <w:lang w:val="es-ES"/>
        </w:rPr>
      </w:pPr>
      <w:r w:rsidRPr="00B858A6">
        <w:rPr>
          <w:rFonts w:eastAsia="ArialMT" w:cs="ArialMT"/>
          <w:kern w:val="0"/>
          <w:sz w:val="22"/>
          <w:szCs w:val="22"/>
          <w:lang w:val="es-ES"/>
        </w:rPr>
        <w:t>Evaluar el impacto del uso de sustancias químicas en proyectos de inversión y desarrollo, a través del Sistema de Evaluación de Impacto Ambiental.</w:t>
      </w:r>
    </w:p>
    <w:p w:rsidR="00EF3031" w:rsidRPr="00B858A6" w:rsidRDefault="00EF3031" w:rsidP="00D4302C">
      <w:pPr>
        <w:pStyle w:val="ListParagraph"/>
        <w:numPr>
          <w:ilvl w:val="0"/>
          <w:numId w:val="57"/>
        </w:numPr>
        <w:autoSpaceDE w:val="0"/>
        <w:autoSpaceDN w:val="0"/>
        <w:adjustRightInd w:val="0"/>
        <w:jc w:val="both"/>
        <w:rPr>
          <w:rFonts w:eastAsia="ArialMT" w:cs="ArialMT"/>
          <w:kern w:val="0"/>
          <w:sz w:val="22"/>
          <w:szCs w:val="22"/>
          <w:lang w:val="es-ES"/>
        </w:rPr>
      </w:pPr>
      <w:r w:rsidRPr="00B858A6">
        <w:rPr>
          <w:rFonts w:eastAsia="ArialMT" w:cs="ArialMT"/>
          <w:kern w:val="0"/>
          <w:sz w:val="22"/>
          <w:szCs w:val="22"/>
          <w:lang w:val="es-ES"/>
        </w:rPr>
        <w:t>Supervisar el seguimiento de los estudios de impacto ambiental y declaración de impacto ambiental.</w:t>
      </w:r>
    </w:p>
    <w:p w:rsidR="00EF3031" w:rsidRPr="00B858A6" w:rsidRDefault="00EF3031" w:rsidP="00D4302C">
      <w:pPr>
        <w:pStyle w:val="ListParagraph"/>
        <w:numPr>
          <w:ilvl w:val="0"/>
          <w:numId w:val="57"/>
        </w:numPr>
        <w:autoSpaceDE w:val="0"/>
        <w:autoSpaceDN w:val="0"/>
        <w:adjustRightInd w:val="0"/>
        <w:jc w:val="both"/>
        <w:rPr>
          <w:rFonts w:eastAsia="ArialMT" w:cs="ArialMT"/>
          <w:kern w:val="0"/>
          <w:sz w:val="22"/>
          <w:szCs w:val="22"/>
          <w:lang w:val="es-ES"/>
        </w:rPr>
      </w:pPr>
      <w:r w:rsidRPr="00B858A6">
        <w:rPr>
          <w:rFonts w:eastAsia="ArialMT" w:cs="ArialMT"/>
          <w:kern w:val="0"/>
          <w:sz w:val="22"/>
          <w:szCs w:val="22"/>
          <w:lang w:val="es-ES"/>
        </w:rPr>
        <w:t>Coordinar la elaboración de normativa ambiental, especialmente respecto de normas de calidad ambiental y emisión.</w:t>
      </w:r>
    </w:p>
    <w:p w:rsidR="00EF3031" w:rsidRPr="00B858A6" w:rsidRDefault="00EF3031" w:rsidP="00D4302C">
      <w:pPr>
        <w:pStyle w:val="ListParagraph"/>
        <w:numPr>
          <w:ilvl w:val="0"/>
          <w:numId w:val="57"/>
        </w:numPr>
        <w:autoSpaceDE w:val="0"/>
        <w:autoSpaceDN w:val="0"/>
        <w:adjustRightInd w:val="0"/>
        <w:jc w:val="both"/>
        <w:rPr>
          <w:rFonts w:eastAsia="ArialMT" w:cs="ArialMT"/>
          <w:kern w:val="0"/>
          <w:sz w:val="22"/>
          <w:szCs w:val="22"/>
          <w:lang w:val="es-ES"/>
        </w:rPr>
      </w:pPr>
      <w:r w:rsidRPr="00B858A6">
        <w:rPr>
          <w:rFonts w:eastAsia="ArialMT" w:cs="ArialMT"/>
          <w:kern w:val="0"/>
          <w:sz w:val="22"/>
          <w:szCs w:val="22"/>
          <w:lang w:val="es-ES"/>
        </w:rPr>
        <w:t>Coordinar el Comité Nacional Asesor de la Agenda Química Ambiental</w:t>
      </w:r>
    </w:p>
    <w:p w:rsidR="004264EE" w:rsidRPr="00B858A6" w:rsidRDefault="00EF3031" w:rsidP="003F0D69">
      <w:pPr>
        <w:pStyle w:val="ListParagraph"/>
        <w:numPr>
          <w:ilvl w:val="0"/>
          <w:numId w:val="57"/>
        </w:numPr>
        <w:autoSpaceDE w:val="0"/>
        <w:autoSpaceDN w:val="0"/>
        <w:adjustRightInd w:val="0"/>
        <w:ind w:left="714" w:hanging="357"/>
        <w:jc w:val="both"/>
        <w:rPr>
          <w:rFonts w:eastAsia="ArialMT" w:cs="ArialMT"/>
          <w:kern w:val="0"/>
          <w:sz w:val="22"/>
          <w:szCs w:val="22"/>
          <w:lang w:val="es-ES"/>
        </w:rPr>
      </w:pPr>
      <w:r w:rsidRPr="00B858A6">
        <w:rPr>
          <w:rFonts w:eastAsia="ArialMT" w:cs="ArialMT"/>
          <w:kern w:val="0"/>
          <w:sz w:val="22"/>
          <w:szCs w:val="22"/>
          <w:lang w:val="es-ES"/>
        </w:rPr>
        <w:t xml:space="preserve">En el tema de las emergencias químicas debe identificar los riesgos </w:t>
      </w:r>
      <w:r w:rsidR="00B858A6" w:rsidRPr="00B858A6">
        <w:rPr>
          <w:rFonts w:eastAsia="ArialMT" w:cs="ArialMT"/>
          <w:kern w:val="0"/>
          <w:sz w:val="22"/>
          <w:szCs w:val="22"/>
          <w:lang w:val="es-ES"/>
        </w:rPr>
        <w:t>e</w:t>
      </w:r>
      <w:r w:rsidRPr="00B858A6">
        <w:rPr>
          <w:rFonts w:eastAsia="ArialMT" w:cs="ArialMT"/>
          <w:kern w:val="0"/>
          <w:sz w:val="22"/>
          <w:szCs w:val="22"/>
          <w:lang w:val="es-ES"/>
        </w:rPr>
        <w:t xml:space="preserve"> impactos ambientales y hacer, si corresponde, las respectivas recomendaciones ambientales del lugar. Adicionalmente, debe coordinar a las instituciones públicas con competencias ambientales, median</w:t>
      </w:r>
      <w:r w:rsidR="00B858A6" w:rsidRPr="00B858A6">
        <w:rPr>
          <w:rFonts w:eastAsia="ArialMT" w:cs="ArialMT"/>
          <w:kern w:val="0"/>
          <w:sz w:val="22"/>
          <w:szCs w:val="22"/>
          <w:lang w:val="es-ES"/>
        </w:rPr>
        <w:t>te la convocatoria de reuniones.</w:t>
      </w:r>
    </w:p>
    <w:p w:rsidR="00BC2BD1" w:rsidRDefault="00BC2BD1" w:rsidP="00606EAC">
      <w:pPr>
        <w:pStyle w:val="ListParagraph"/>
        <w:autoSpaceDE w:val="0"/>
        <w:autoSpaceDN w:val="0"/>
        <w:adjustRightInd w:val="0"/>
        <w:ind w:left="0"/>
        <w:jc w:val="both"/>
        <w:rPr>
          <w:rFonts w:eastAsia="ArialMT" w:cs="ArialMT"/>
          <w:kern w:val="0"/>
          <w:sz w:val="22"/>
          <w:szCs w:val="22"/>
          <w:highlight w:val="yellow"/>
          <w:lang w:val="es-ES"/>
        </w:rPr>
      </w:pPr>
    </w:p>
    <w:p w:rsidR="00BC2BD1" w:rsidRPr="00B858A6" w:rsidRDefault="00103DD0" w:rsidP="00293B22">
      <w:pPr>
        <w:pStyle w:val="ListParagraph"/>
        <w:numPr>
          <w:ilvl w:val="0"/>
          <w:numId w:val="9"/>
        </w:numPr>
        <w:ind w:left="0" w:firstLine="0"/>
        <w:jc w:val="both"/>
        <w:rPr>
          <w:b/>
          <w:sz w:val="22"/>
          <w:szCs w:val="22"/>
        </w:rPr>
      </w:pPr>
      <w:r w:rsidRPr="00B858A6">
        <w:rPr>
          <w:b/>
          <w:sz w:val="22"/>
          <w:szCs w:val="22"/>
        </w:rPr>
        <w:t>Ministerio de Salud</w:t>
      </w:r>
      <w:r w:rsidR="0037548F" w:rsidRPr="00B858A6">
        <w:rPr>
          <w:b/>
          <w:sz w:val="22"/>
          <w:szCs w:val="22"/>
        </w:rPr>
        <w:t xml:space="preserve"> </w:t>
      </w:r>
    </w:p>
    <w:p w:rsidR="00BC2BD1" w:rsidRDefault="00BC2BD1" w:rsidP="00606EAC">
      <w:pPr>
        <w:jc w:val="both"/>
        <w:rPr>
          <w:sz w:val="22"/>
          <w:szCs w:val="22"/>
        </w:rPr>
      </w:pPr>
      <w:r w:rsidRPr="00B858A6">
        <w:rPr>
          <w:sz w:val="22"/>
          <w:szCs w:val="22"/>
        </w:rPr>
        <w:t xml:space="preserve">El Ministerio de Salud, a nivel normativo nacional, tiene la facultad </w:t>
      </w:r>
      <w:r w:rsidR="003F0D69">
        <w:rPr>
          <w:sz w:val="22"/>
          <w:szCs w:val="22"/>
        </w:rPr>
        <w:t xml:space="preserve">de </w:t>
      </w:r>
      <w:r w:rsidRPr="00B858A6">
        <w:rPr>
          <w:sz w:val="22"/>
          <w:szCs w:val="22"/>
        </w:rPr>
        <w:t>formular políticas y reglamentos para regular todas las etapas del ciclo de vida de las sustancias químicas tóxicas y peligrosas para la salud</w:t>
      </w:r>
      <w:r w:rsidR="003F0D69">
        <w:rPr>
          <w:sz w:val="22"/>
          <w:szCs w:val="22"/>
        </w:rPr>
        <w:t xml:space="preserve"> humana</w:t>
      </w:r>
      <w:r w:rsidRPr="00B858A6">
        <w:rPr>
          <w:sz w:val="22"/>
          <w:szCs w:val="22"/>
        </w:rPr>
        <w:t xml:space="preserve"> y de los plaguicidas de uso sanitario y doméstico </w:t>
      </w:r>
      <w:r w:rsidR="00E25AB2">
        <w:rPr>
          <w:sz w:val="22"/>
          <w:szCs w:val="22"/>
        </w:rPr>
        <w:t xml:space="preserve">(incluidos los desinfectantes) </w:t>
      </w:r>
      <w:r w:rsidR="003F0D69">
        <w:rPr>
          <w:sz w:val="22"/>
          <w:szCs w:val="22"/>
        </w:rPr>
        <w:t>enfocado</w:t>
      </w:r>
      <w:r w:rsidRPr="00B858A6">
        <w:rPr>
          <w:sz w:val="22"/>
          <w:szCs w:val="22"/>
        </w:rPr>
        <w:t>s en proteger a la población de los riesgos asociadas a ellas. La fiscalización en materia de control, manejo y gestión de sustancias químicas y sus residuos lo realiza a través de las Secretarías Regionales Ministeriales de Salud (SEREMI de Salud). Adicionalmente tiene la facultad de autorizar la importación y fabricación de las sustancias químicas mencionadas.</w:t>
      </w:r>
    </w:p>
    <w:p w:rsidR="00FC342C" w:rsidRPr="00B858A6" w:rsidRDefault="00FC342C" w:rsidP="00606EAC">
      <w:pPr>
        <w:jc w:val="both"/>
        <w:rPr>
          <w:sz w:val="22"/>
          <w:szCs w:val="22"/>
        </w:rPr>
      </w:pPr>
      <w:r w:rsidRPr="00B858A6">
        <w:rPr>
          <w:sz w:val="22"/>
          <w:szCs w:val="22"/>
        </w:rPr>
        <w:t>En relación con los plaguicidas de uso sanitario</w:t>
      </w:r>
      <w:r w:rsidR="00E25AB2">
        <w:rPr>
          <w:sz w:val="22"/>
          <w:szCs w:val="22"/>
        </w:rPr>
        <w:t xml:space="preserve"> y doméstico</w:t>
      </w:r>
      <w:r w:rsidRPr="00B858A6">
        <w:rPr>
          <w:sz w:val="22"/>
          <w:szCs w:val="22"/>
        </w:rPr>
        <w:t xml:space="preserve">, su registro y autorización de importación o fabricación también recaen </w:t>
      </w:r>
      <w:r w:rsidR="00B858A6">
        <w:rPr>
          <w:sz w:val="22"/>
          <w:szCs w:val="22"/>
        </w:rPr>
        <w:t>en el Sector Salud</w:t>
      </w:r>
      <w:r w:rsidRPr="00B858A6">
        <w:rPr>
          <w:sz w:val="22"/>
          <w:szCs w:val="22"/>
        </w:rPr>
        <w:t xml:space="preserve"> a través del Instituto de Salud Pública (ISP). En este caso el ISP elabora, mantiene y actualiza el registro de los plaguicidas para su venta y distribución, regulando la venta y comercio de éstos.</w:t>
      </w:r>
    </w:p>
    <w:p w:rsidR="00BC2BD1" w:rsidRDefault="00BC2BD1" w:rsidP="00606EAC">
      <w:pPr>
        <w:tabs>
          <w:tab w:val="left" w:pos="0"/>
        </w:tabs>
        <w:jc w:val="both"/>
        <w:rPr>
          <w:sz w:val="22"/>
          <w:szCs w:val="22"/>
        </w:rPr>
      </w:pPr>
      <w:r w:rsidRPr="00B858A6">
        <w:rPr>
          <w:sz w:val="22"/>
          <w:szCs w:val="22"/>
        </w:rPr>
        <w:t>En el ámbito de Salud Ocupacional, tiene como objetivo principal fomentar</w:t>
      </w:r>
      <w:r w:rsidR="007543BE" w:rsidRPr="00B858A6">
        <w:rPr>
          <w:sz w:val="22"/>
          <w:szCs w:val="22"/>
        </w:rPr>
        <w:t xml:space="preserve"> el desarrollo de ambientes de trabajos saludables que permitan mejorar la calidad de vida de los trabajadores, por ello, cumple con funciones normativas, supervisoras y asesoras para contribuir a la formulación de políticas de salud ambiental y de trabajo, elaborando planes y programas nacionales para proteger la salud de la población y de los trabajadores de los riesgos asociados al ambiente.</w:t>
      </w:r>
    </w:p>
    <w:p w:rsidR="007543BE" w:rsidRPr="00B858A6" w:rsidRDefault="007543BE" w:rsidP="00293B22">
      <w:pPr>
        <w:pStyle w:val="ListParagraph"/>
        <w:numPr>
          <w:ilvl w:val="0"/>
          <w:numId w:val="9"/>
        </w:numPr>
        <w:ind w:left="0" w:firstLine="0"/>
        <w:jc w:val="both"/>
        <w:rPr>
          <w:b/>
          <w:sz w:val="22"/>
          <w:szCs w:val="22"/>
        </w:rPr>
      </w:pPr>
      <w:r w:rsidRPr="00B858A6">
        <w:rPr>
          <w:b/>
          <w:sz w:val="22"/>
          <w:szCs w:val="22"/>
        </w:rPr>
        <w:t>Ministerio de Agricultura</w:t>
      </w:r>
    </w:p>
    <w:p w:rsidR="004B1F6F" w:rsidRPr="00B858A6" w:rsidRDefault="00E51CD1" w:rsidP="00606EAC">
      <w:pPr>
        <w:jc w:val="both"/>
        <w:rPr>
          <w:sz w:val="22"/>
          <w:szCs w:val="22"/>
        </w:rPr>
      </w:pPr>
      <w:r w:rsidRPr="00B858A6">
        <w:rPr>
          <w:sz w:val="22"/>
          <w:szCs w:val="22"/>
        </w:rPr>
        <w:t>El Ministerio de Agricultura delega en el Servicio Agrícola Ganadero</w:t>
      </w:r>
      <w:r w:rsidR="0085214D" w:rsidRPr="00B858A6">
        <w:rPr>
          <w:sz w:val="22"/>
          <w:szCs w:val="22"/>
        </w:rPr>
        <w:t xml:space="preserve"> (SAG)</w:t>
      </w:r>
      <w:r w:rsidRPr="00B858A6">
        <w:rPr>
          <w:sz w:val="22"/>
          <w:szCs w:val="22"/>
        </w:rPr>
        <w:t xml:space="preserve"> la facultad para reglamentar y controlar los diversos aspectos que dicen relación con los plagu</w:t>
      </w:r>
      <w:r w:rsidR="00E175D0" w:rsidRPr="00B858A6">
        <w:rPr>
          <w:sz w:val="22"/>
          <w:szCs w:val="22"/>
        </w:rPr>
        <w:t>i</w:t>
      </w:r>
      <w:r w:rsidRPr="00B858A6">
        <w:rPr>
          <w:sz w:val="22"/>
          <w:szCs w:val="22"/>
        </w:rPr>
        <w:t xml:space="preserve">cidas y fertilizantes de uso agrícola. </w:t>
      </w:r>
      <w:r w:rsidR="004B1F6F" w:rsidRPr="00B858A6">
        <w:rPr>
          <w:sz w:val="22"/>
          <w:szCs w:val="22"/>
        </w:rPr>
        <w:t>En base a esta facultad, existen diversas disposiciones dirigidas a establecer regulaciones, restricciones, prohibiciones para propender el empleo correcto y eficiente de ellos en la protección de los cultivos, con riesgo mínimo para la salud humana, flora, fauna y medio ambiente. Parte de la normativa que respa</w:t>
      </w:r>
      <w:r w:rsidR="00E175D0" w:rsidRPr="00B858A6">
        <w:rPr>
          <w:sz w:val="22"/>
          <w:szCs w:val="22"/>
        </w:rPr>
        <w:t>l</w:t>
      </w:r>
      <w:r w:rsidR="004B1F6F" w:rsidRPr="00B858A6">
        <w:rPr>
          <w:sz w:val="22"/>
          <w:szCs w:val="22"/>
        </w:rPr>
        <w:t>da las funciones de este organismo dice relación con:</w:t>
      </w:r>
    </w:p>
    <w:p w:rsidR="004B1F6F" w:rsidRPr="00B858A6" w:rsidRDefault="004B1F6F" w:rsidP="00D4302C">
      <w:pPr>
        <w:pStyle w:val="ListParagraph"/>
        <w:numPr>
          <w:ilvl w:val="0"/>
          <w:numId w:val="58"/>
        </w:numPr>
        <w:jc w:val="both"/>
        <w:rPr>
          <w:sz w:val="22"/>
          <w:szCs w:val="22"/>
        </w:rPr>
      </w:pPr>
      <w:r w:rsidRPr="00B858A6">
        <w:rPr>
          <w:sz w:val="22"/>
          <w:szCs w:val="22"/>
        </w:rPr>
        <w:t>Autorización: Todo plaguicida de uso agrícola que se fabrique, importe o utilice en el país debe estar previamente autorizado por el SAG.</w:t>
      </w:r>
    </w:p>
    <w:p w:rsidR="004B1F6F" w:rsidRPr="00B858A6" w:rsidRDefault="004B1F6F" w:rsidP="00D4302C">
      <w:pPr>
        <w:pStyle w:val="ListParagraph"/>
        <w:numPr>
          <w:ilvl w:val="0"/>
          <w:numId w:val="58"/>
        </w:numPr>
        <w:jc w:val="both"/>
        <w:rPr>
          <w:sz w:val="22"/>
          <w:szCs w:val="22"/>
        </w:rPr>
      </w:pPr>
      <w:r w:rsidRPr="00B858A6">
        <w:rPr>
          <w:sz w:val="22"/>
          <w:szCs w:val="22"/>
        </w:rPr>
        <w:t>Envasado, etiquetado y clasificación toxicológica.</w:t>
      </w:r>
    </w:p>
    <w:p w:rsidR="004B1F6F" w:rsidRPr="00B858A6" w:rsidRDefault="004B1F6F" w:rsidP="00D4302C">
      <w:pPr>
        <w:pStyle w:val="ListParagraph"/>
        <w:numPr>
          <w:ilvl w:val="0"/>
          <w:numId w:val="58"/>
        </w:numPr>
        <w:jc w:val="both"/>
        <w:rPr>
          <w:sz w:val="22"/>
          <w:szCs w:val="22"/>
        </w:rPr>
      </w:pPr>
      <w:r w:rsidRPr="00B858A6">
        <w:rPr>
          <w:sz w:val="22"/>
          <w:szCs w:val="22"/>
        </w:rPr>
        <w:t>Prohibición o restricción en la fabricación, importación, venta, distribución y uso de ciertos plaguicidas.</w:t>
      </w:r>
    </w:p>
    <w:p w:rsidR="004B1F6F" w:rsidRPr="00B858A6" w:rsidRDefault="004B1F6F" w:rsidP="00D4302C">
      <w:pPr>
        <w:pStyle w:val="ListParagraph"/>
        <w:numPr>
          <w:ilvl w:val="0"/>
          <w:numId w:val="58"/>
        </w:numPr>
        <w:jc w:val="both"/>
        <w:rPr>
          <w:sz w:val="22"/>
          <w:szCs w:val="22"/>
        </w:rPr>
      </w:pPr>
      <w:r w:rsidRPr="00B858A6">
        <w:rPr>
          <w:sz w:val="22"/>
          <w:szCs w:val="22"/>
        </w:rPr>
        <w:t>C</w:t>
      </w:r>
      <w:r w:rsidR="00E175D0" w:rsidRPr="00B858A6">
        <w:rPr>
          <w:sz w:val="22"/>
          <w:szCs w:val="22"/>
        </w:rPr>
        <w:t>ontrol de la importación y form</w:t>
      </w:r>
      <w:r w:rsidRPr="00B858A6">
        <w:rPr>
          <w:sz w:val="22"/>
          <w:szCs w:val="22"/>
        </w:rPr>
        <w:t>ulación nacional de plaguicidas agrícolas.</w:t>
      </w:r>
    </w:p>
    <w:p w:rsidR="008554F9" w:rsidRPr="00B858A6" w:rsidRDefault="004B1F6F" w:rsidP="00D4302C">
      <w:pPr>
        <w:pStyle w:val="ListParagraph"/>
        <w:numPr>
          <w:ilvl w:val="0"/>
          <w:numId w:val="58"/>
        </w:numPr>
        <w:contextualSpacing w:val="0"/>
        <w:jc w:val="both"/>
        <w:rPr>
          <w:sz w:val="22"/>
          <w:szCs w:val="22"/>
        </w:rPr>
      </w:pPr>
      <w:r w:rsidRPr="00B858A6">
        <w:rPr>
          <w:sz w:val="22"/>
          <w:szCs w:val="22"/>
        </w:rPr>
        <w:t>Control de uso y manejo de plaguicidas en campo</w:t>
      </w:r>
    </w:p>
    <w:p w:rsidR="0039026F" w:rsidRPr="00B858A6" w:rsidRDefault="0039026F" w:rsidP="00293B22">
      <w:pPr>
        <w:pStyle w:val="ListParagraph"/>
        <w:numPr>
          <w:ilvl w:val="0"/>
          <w:numId w:val="9"/>
        </w:numPr>
        <w:ind w:left="0" w:firstLine="0"/>
        <w:contextualSpacing w:val="0"/>
        <w:jc w:val="both"/>
        <w:rPr>
          <w:b/>
          <w:sz w:val="22"/>
          <w:szCs w:val="22"/>
        </w:rPr>
      </w:pPr>
      <w:r w:rsidRPr="00B858A6">
        <w:rPr>
          <w:b/>
          <w:sz w:val="22"/>
          <w:szCs w:val="22"/>
        </w:rPr>
        <w:t>Ministerio del Trabajo</w:t>
      </w:r>
    </w:p>
    <w:p w:rsidR="00A53BD1" w:rsidRPr="00B858A6" w:rsidRDefault="005C0756" w:rsidP="00606EAC">
      <w:pPr>
        <w:jc w:val="both"/>
        <w:rPr>
          <w:sz w:val="22"/>
          <w:szCs w:val="22"/>
        </w:rPr>
      </w:pPr>
      <w:r w:rsidRPr="00B858A6">
        <w:rPr>
          <w:sz w:val="22"/>
          <w:szCs w:val="22"/>
        </w:rPr>
        <w:t>La Dirección del Trabajo, servicio dependiente de este Ministerio, tiene la facultad de fiscalizar las normas laborales, previsionales, de seguridad y salud en los lugares de trabajo</w:t>
      </w:r>
      <w:r w:rsidR="00F8578E" w:rsidRPr="00B858A6">
        <w:rPr>
          <w:sz w:val="22"/>
          <w:szCs w:val="22"/>
        </w:rPr>
        <w:t>,</w:t>
      </w:r>
      <w:r w:rsidRPr="00B858A6">
        <w:rPr>
          <w:sz w:val="22"/>
          <w:szCs w:val="22"/>
        </w:rPr>
        <w:t xml:space="preserve"> provenientes de otros ministerios que tengan relación con la protección de la v</w:t>
      </w:r>
      <w:r w:rsidR="00092255" w:rsidRPr="00B858A6">
        <w:rPr>
          <w:sz w:val="22"/>
          <w:szCs w:val="22"/>
        </w:rPr>
        <w:t>ida y salud de los trabajadores, participando así, en el control del ciclo de vida de las sustancias químicas.</w:t>
      </w:r>
      <w:r w:rsidR="00BB1A04" w:rsidRPr="00B858A6">
        <w:rPr>
          <w:sz w:val="22"/>
          <w:szCs w:val="22"/>
        </w:rPr>
        <w:t xml:space="preserve"> </w:t>
      </w:r>
      <w:r w:rsidR="00A53BD1" w:rsidRPr="00B858A6">
        <w:rPr>
          <w:sz w:val="22"/>
          <w:szCs w:val="22"/>
        </w:rPr>
        <w:t xml:space="preserve"> </w:t>
      </w:r>
    </w:p>
    <w:p w:rsidR="00092255" w:rsidRPr="00B858A6" w:rsidRDefault="00E175D0" w:rsidP="00606EAC">
      <w:pPr>
        <w:jc w:val="both"/>
        <w:rPr>
          <w:sz w:val="22"/>
          <w:szCs w:val="22"/>
        </w:rPr>
      </w:pPr>
      <w:r w:rsidRPr="00B858A6">
        <w:rPr>
          <w:sz w:val="22"/>
          <w:szCs w:val="22"/>
        </w:rPr>
        <w:t>Además</w:t>
      </w:r>
      <w:r w:rsidR="00092255" w:rsidRPr="00B858A6">
        <w:rPr>
          <w:sz w:val="22"/>
          <w:szCs w:val="22"/>
        </w:rPr>
        <w:t>, este servicio realiza actividades de difusión y capacitación de los actores laborales,</w:t>
      </w:r>
      <w:r w:rsidR="00A53BD1" w:rsidRPr="00B858A6">
        <w:rPr>
          <w:sz w:val="22"/>
          <w:szCs w:val="22"/>
        </w:rPr>
        <w:t xml:space="preserve"> desarrollando políticas en el campo de la formación profesional y</w:t>
      </w:r>
      <w:r w:rsidR="00092255" w:rsidRPr="00B858A6">
        <w:rPr>
          <w:sz w:val="22"/>
          <w:szCs w:val="22"/>
        </w:rPr>
        <w:t xml:space="preserve"> realizando asistencias técnicas a empleadores y trabajadores e informando sobre la normativa laboral.</w:t>
      </w:r>
    </w:p>
    <w:p w:rsidR="00F8578E" w:rsidRPr="00B858A6" w:rsidRDefault="00F8578E" w:rsidP="00293B22">
      <w:pPr>
        <w:pStyle w:val="ListParagraph"/>
        <w:numPr>
          <w:ilvl w:val="0"/>
          <w:numId w:val="9"/>
        </w:numPr>
        <w:ind w:left="0" w:firstLine="0"/>
        <w:jc w:val="both"/>
        <w:rPr>
          <w:b/>
          <w:sz w:val="22"/>
          <w:szCs w:val="22"/>
        </w:rPr>
      </w:pPr>
      <w:r w:rsidRPr="00B858A6">
        <w:rPr>
          <w:b/>
          <w:sz w:val="22"/>
          <w:szCs w:val="22"/>
        </w:rPr>
        <w:t>Ministerio de Economía</w:t>
      </w:r>
    </w:p>
    <w:p w:rsidR="005C0756" w:rsidRPr="00B858A6" w:rsidRDefault="00F9451A" w:rsidP="00606EAC">
      <w:pPr>
        <w:jc w:val="both"/>
        <w:rPr>
          <w:sz w:val="22"/>
          <w:szCs w:val="22"/>
        </w:rPr>
      </w:pPr>
      <w:r w:rsidRPr="00B858A6">
        <w:rPr>
          <w:sz w:val="22"/>
          <w:szCs w:val="22"/>
        </w:rPr>
        <w:t>La Superintendencia de Electricidad y Combustible, dependiente de este Ministerio, fiscaliza el cumplimiento de las disposiciones legales, reglamentarias y normativas sobre generación, producción, almacenamiento, transporte y distribución de combustibles buscando que las operaciones y el uso de estos recursos energéticos no constituyan peligro para las personas y sus bienes.</w:t>
      </w:r>
      <w:r w:rsidR="00C05A0C" w:rsidRPr="00B858A6">
        <w:rPr>
          <w:sz w:val="22"/>
          <w:szCs w:val="22"/>
        </w:rPr>
        <w:t xml:space="preserve"> Además, tiene facultades para determinar las instrucciones a la hora de elaborar reglamentos internos de seguridad en las instalaciones relacionadas, instrucciones técnicas y procedimientos de certificación respectivos.</w:t>
      </w:r>
    </w:p>
    <w:p w:rsidR="00F9451A" w:rsidRDefault="00F9451A" w:rsidP="00606EAC">
      <w:pPr>
        <w:jc w:val="both"/>
        <w:rPr>
          <w:sz w:val="22"/>
          <w:szCs w:val="22"/>
        </w:rPr>
      </w:pPr>
      <w:r w:rsidRPr="00B858A6">
        <w:rPr>
          <w:sz w:val="22"/>
          <w:szCs w:val="22"/>
        </w:rPr>
        <w:t>Adicionalmente, este Ministerio, a través del Consejo Nacional de Producción Limpia (CLP), fomenta la</w:t>
      </w:r>
      <w:r w:rsidR="00C05A0C" w:rsidRPr="00B858A6">
        <w:rPr>
          <w:sz w:val="22"/>
          <w:szCs w:val="22"/>
        </w:rPr>
        <w:t xml:space="preserve"> política de</w:t>
      </w:r>
      <w:r w:rsidRPr="00B858A6">
        <w:rPr>
          <w:sz w:val="22"/>
          <w:szCs w:val="22"/>
        </w:rPr>
        <w:t xml:space="preserve"> Producción Limpia y los Acuerdos de Producción Limpia (APL), siendo</w:t>
      </w:r>
      <w:r w:rsidR="00C05A0C" w:rsidRPr="00B858A6">
        <w:rPr>
          <w:sz w:val="22"/>
          <w:szCs w:val="22"/>
        </w:rPr>
        <w:t xml:space="preserve"> este Consejo</w:t>
      </w:r>
      <w:r w:rsidRPr="00B858A6">
        <w:rPr>
          <w:sz w:val="22"/>
          <w:szCs w:val="22"/>
        </w:rPr>
        <w:t xml:space="preserve"> una instancia de diálogo y acción conjunta entre el sector público, la empresa y los trabajadores, con  el fin de difundir y establecer un enfoque de la gestión ambiental que </w:t>
      </w:r>
      <w:r w:rsidR="002712F4" w:rsidRPr="00B858A6">
        <w:rPr>
          <w:sz w:val="22"/>
          <w:szCs w:val="22"/>
        </w:rPr>
        <w:t>da énfasis en</w:t>
      </w:r>
      <w:r w:rsidRPr="00B858A6">
        <w:rPr>
          <w:sz w:val="22"/>
          <w:szCs w:val="22"/>
        </w:rPr>
        <w:t xml:space="preserve"> la prevención de la contaminación, más que en su control final. Los APL tienen por objetivo mejorar el desempeño ambiental mediante </w:t>
      </w:r>
      <w:r w:rsidR="00625CEC">
        <w:rPr>
          <w:sz w:val="22"/>
          <w:szCs w:val="22"/>
        </w:rPr>
        <w:t xml:space="preserve">la definición de </w:t>
      </w:r>
      <w:r w:rsidRPr="00B858A6">
        <w:rPr>
          <w:sz w:val="22"/>
          <w:szCs w:val="22"/>
        </w:rPr>
        <w:t>medidas específicas que se detallan en él.</w:t>
      </w:r>
    </w:p>
    <w:p w:rsidR="00197ED3" w:rsidRPr="00B858A6" w:rsidRDefault="00197ED3" w:rsidP="00293B22">
      <w:pPr>
        <w:pStyle w:val="ListParagraph"/>
        <w:numPr>
          <w:ilvl w:val="0"/>
          <w:numId w:val="9"/>
        </w:numPr>
        <w:ind w:left="0" w:firstLine="0"/>
        <w:jc w:val="both"/>
        <w:rPr>
          <w:b/>
          <w:sz w:val="22"/>
          <w:szCs w:val="22"/>
        </w:rPr>
      </w:pPr>
      <w:r w:rsidRPr="00B858A6">
        <w:rPr>
          <w:b/>
          <w:sz w:val="22"/>
          <w:szCs w:val="22"/>
        </w:rPr>
        <w:t>Ministerio de Transporte y Telecomunicaciones</w:t>
      </w:r>
    </w:p>
    <w:p w:rsidR="00AD34DF" w:rsidRPr="00B858A6" w:rsidRDefault="00AD34DF" w:rsidP="00606EAC">
      <w:pPr>
        <w:jc w:val="both"/>
        <w:rPr>
          <w:sz w:val="22"/>
          <w:szCs w:val="22"/>
        </w:rPr>
      </w:pPr>
      <w:r w:rsidRPr="00B858A6">
        <w:rPr>
          <w:sz w:val="22"/>
          <w:szCs w:val="22"/>
        </w:rPr>
        <w:t>La relación de este Ministerio con la gestión de sustancias químicas es a través del Decreto Supremo 298</w:t>
      </w:r>
      <w:r w:rsidR="000A560D" w:rsidRPr="00B858A6">
        <w:rPr>
          <w:sz w:val="22"/>
          <w:szCs w:val="22"/>
        </w:rPr>
        <w:t>/94</w:t>
      </w:r>
      <w:r w:rsidRPr="00B858A6">
        <w:rPr>
          <w:sz w:val="22"/>
          <w:szCs w:val="22"/>
        </w:rPr>
        <w:t xml:space="preserve"> el cual regula el “Transporte de Cargas Peligrosas por calles y caminos”. Además, tiene la facultad para restringir el tránsito de cargas peligrosas en forma permanente o transitoria por determinadas vías.</w:t>
      </w:r>
    </w:p>
    <w:p w:rsidR="00205205" w:rsidRPr="00B858A6" w:rsidRDefault="00205205" w:rsidP="00606EAC">
      <w:pPr>
        <w:jc w:val="both"/>
        <w:rPr>
          <w:sz w:val="22"/>
          <w:szCs w:val="22"/>
        </w:rPr>
      </w:pPr>
      <w:r w:rsidRPr="00B858A6">
        <w:rPr>
          <w:sz w:val="22"/>
          <w:szCs w:val="22"/>
        </w:rPr>
        <w:t>Dentro de sus líneas de acción, el Ministerio realiza actividades de fiscalización y</w:t>
      </w:r>
      <w:r w:rsidR="00B4601E" w:rsidRPr="00B858A6">
        <w:rPr>
          <w:sz w:val="22"/>
          <w:szCs w:val="22"/>
        </w:rPr>
        <w:t xml:space="preserve"> de certificación y homologación vehicular, de manera de asegurar el cumplimiento de las normas de emisión y de seguridad.</w:t>
      </w:r>
    </w:p>
    <w:p w:rsidR="00AD34DF" w:rsidRPr="00B858A6" w:rsidRDefault="00AD34DF" w:rsidP="00293B22">
      <w:pPr>
        <w:pStyle w:val="ListParagraph"/>
        <w:numPr>
          <w:ilvl w:val="0"/>
          <w:numId w:val="9"/>
        </w:numPr>
        <w:ind w:left="0" w:firstLine="0"/>
        <w:jc w:val="both"/>
        <w:rPr>
          <w:b/>
          <w:sz w:val="22"/>
          <w:szCs w:val="22"/>
        </w:rPr>
      </w:pPr>
      <w:r w:rsidRPr="00B858A6">
        <w:rPr>
          <w:b/>
          <w:sz w:val="22"/>
          <w:szCs w:val="22"/>
        </w:rPr>
        <w:t>Ministerio del Interior</w:t>
      </w:r>
    </w:p>
    <w:p w:rsidR="00031836" w:rsidRPr="00B858A6" w:rsidRDefault="00031836" w:rsidP="00606EAC">
      <w:pPr>
        <w:jc w:val="both"/>
        <w:rPr>
          <w:sz w:val="22"/>
          <w:szCs w:val="22"/>
        </w:rPr>
      </w:pPr>
      <w:r w:rsidRPr="00B858A6">
        <w:rPr>
          <w:sz w:val="22"/>
          <w:szCs w:val="22"/>
        </w:rPr>
        <w:t>La relación de este Ministerio con la gestión de sustancias químicas peligrosas es a través de la Oficina Nacional de Emergencias (ONEMI)</w:t>
      </w:r>
      <w:r w:rsidR="007E3B53" w:rsidRPr="00B858A6">
        <w:rPr>
          <w:sz w:val="22"/>
          <w:szCs w:val="22"/>
        </w:rPr>
        <w:t xml:space="preserve"> la cual tiene la misión de asesorar, guiar, coordinar, evaluar y controlar el ejercicio permanente del estado de Chile en la planificación y atención de emergencias y desastres de origen natural o provocados por la acción humana, proporcionando a los Ministerios, Intendencias, Gobernaciones, Municipios y organismos de Protección Civil de los niveles nacional, regional, provincia</w:t>
      </w:r>
      <w:r w:rsidR="002712F4" w:rsidRPr="00B858A6">
        <w:rPr>
          <w:sz w:val="22"/>
          <w:szCs w:val="22"/>
        </w:rPr>
        <w:t>l</w:t>
      </w:r>
      <w:r w:rsidR="007E3B53" w:rsidRPr="00B858A6">
        <w:rPr>
          <w:sz w:val="22"/>
          <w:szCs w:val="22"/>
        </w:rPr>
        <w:t xml:space="preserve"> y comunal, modelos de gestión permanentes y participativos para la Administración de Riesgos, participando en la coordinación de las emergencias químicas que sucedan en cualquier etapa del ciclo de vida, a través del Sistema Nacional de Protección Civil.</w:t>
      </w:r>
    </w:p>
    <w:p w:rsidR="007E3B53" w:rsidRPr="00B858A6" w:rsidRDefault="007E3B53" w:rsidP="00293B22">
      <w:pPr>
        <w:pStyle w:val="ListParagraph"/>
        <w:numPr>
          <w:ilvl w:val="0"/>
          <w:numId w:val="9"/>
        </w:numPr>
        <w:ind w:left="0" w:firstLine="0"/>
        <w:jc w:val="both"/>
        <w:rPr>
          <w:b/>
          <w:sz w:val="22"/>
          <w:szCs w:val="22"/>
        </w:rPr>
      </w:pPr>
      <w:r w:rsidRPr="00B858A6">
        <w:rPr>
          <w:b/>
          <w:sz w:val="22"/>
          <w:szCs w:val="22"/>
        </w:rPr>
        <w:t>Ministerio de Hacienda</w:t>
      </w:r>
    </w:p>
    <w:p w:rsidR="00A42BDE" w:rsidRPr="00B858A6" w:rsidRDefault="00EE05B0" w:rsidP="00606EAC">
      <w:pPr>
        <w:jc w:val="both"/>
        <w:rPr>
          <w:sz w:val="22"/>
          <w:szCs w:val="22"/>
        </w:rPr>
      </w:pPr>
      <w:r w:rsidRPr="00B858A6">
        <w:rPr>
          <w:sz w:val="22"/>
          <w:szCs w:val="22"/>
        </w:rPr>
        <w:t>El Servicio Nacional de Aduanas</w:t>
      </w:r>
      <w:r w:rsidR="00DE55F9">
        <w:rPr>
          <w:sz w:val="22"/>
          <w:szCs w:val="22"/>
        </w:rPr>
        <w:t>, dependiente de este Ministerio,</w:t>
      </w:r>
      <w:r w:rsidRPr="00B858A6">
        <w:rPr>
          <w:sz w:val="22"/>
          <w:szCs w:val="22"/>
        </w:rPr>
        <w:t xml:space="preserve"> participa en el ciclo de vida de las sustancias químicas y plaguicidas mediante la fiscal</w:t>
      </w:r>
      <w:r w:rsidR="002712F4" w:rsidRPr="00B858A6">
        <w:rPr>
          <w:sz w:val="22"/>
          <w:szCs w:val="22"/>
        </w:rPr>
        <w:t>i</w:t>
      </w:r>
      <w:r w:rsidRPr="00B858A6">
        <w:rPr>
          <w:sz w:val="22"/>
          <w:szCs w:val="22"/>
        </w:rPr>
        <w:t xml:space="preserve">zación de las </w:t>
      </w:r>
      <w:r w:rsidR="00773E45" w:rsidRPr="00B858A6">
        <w:rPr>
          <w:sz w:val="22"/>
          <w:szCs w:val="22"/>
        </w:rPr>
        <w:t xml:space="preserve">importaciones y exportaciones de sustancias químicas, velando por el cumplimiento de la Ley 18.164 que regula el ingreso de éstas al país, exigiendo y verificando </w:t>
      </w:r>
      <w:r w:rsidRPr="00B858A6">
        <w:rPr>
          <w:sz w:val="22"/>
          <w:szCs w:val="22"/>
        </w:rPr>
        <w:t xml:space="preserve">que </w:t>
      </w:r>
      <w:r w:rsidR="00773E45" w:rsidRPr="00B858A6">
        <w:rPr>
          <w:sz w:val="22"/>
          <w:szCs w:val="22"/>
        </w:rPr>
        <w:t>la documentación</w:t>
      </w:r>
      <w:r w:rsidRPr="00B858A6">
        <w:rPr>
          <w:sz w:val="22"/>
          <w:szCs w:val="22"/>
        </w:rPr>
        <w:t xml:space="preserve"> cuente con las autorizaciones de los Servicios correspondientes y de acuerdo a los listados que los Ministerio de Salud y Agricultura emiten al respecto.</w:t>
      </w:r>
    </w:p>
    <w:p w:rsidR="00572AF0" w:rsidRPr="00B858A6" w:rsidRDefault="002101C9" w:rsidP="00606EAC">
      <w:pPr>
        <w:jc w:val="both"/>
        <w:rPr>
          <w:sz w:val="22"/>
          <w:szCs w:val="22"/>
        </w:rPr>
      </w:pPr>
      <w:r w:rsidRPr="00B858A6">
        <w:rPr>
          <w:sz w:val="22"/>
          <w:szCs w:val="22"/>
        </w:rPr>
        <w:t xml:space="preserve">Para el control de ingreso y salida de sustancias químicas se utilizan 2 modalidades: </w:t>
      </w:r>
    </w:p>
    <w:p w:rsidR="002101C9" w:rsidRPr="00B858A6" w:rsidRDefault="002101C9" w:rsidP="00D4302C">
      <w:pPr>
        <w:pStyle w:val="ListParagraph"/>
        <w:numPr>
          <w:ilvl w:val="0"/>
          <w:numId w:val="59"/>
        </w:numPr>
        <w:jc w:val="both"/>
        <w:rPr>
          <w:sz w:val="22"/>
          <w:szCs w:val="22"/>
        </w:rPr>
      </w:pPr>
      <w:r w:rsidRPr="00B858A6">
        <w:rPr>
          <w:sz w:val="22"/>
          <w:szCs w:val="22"/>
          <w:u w:val="single"/>
        </w:rPr>
        <w:t>Control Previo</w:t>
      </w:r>
      <w:r w:rsidRPr="00B858A6">
        <w:rPr>
          <w:sz w:val="22"/>
          <w:szCs w:val="22"/>
        </w:rPr>
        <w:t>: En las importaciones, se realizan aforos físicos para constatar la cantidad y tipo de producto a ingresar y aforos documentales</w:t>
      </w:r>
      <w:r w:rsidR="00572AF0" w:rsidRPr="00B858A6">
        <w:rPr>
          <w:sz w:val="22"/>
          <w:szCs w:val="22"/>
        </w:rPr>
        <w:t xml:space="preserve"> donde se revisa toda la documentación base (certificados, declaraciones, etc</w:t>
      </w:r>
      <w:r w:rsidR="002712F4" w:rsidRPr="00B858A6">
        <w:rPr>
          <w:sz w:val="22"/>
          <w:szCs w:val="22"/>
        </w:rPr>
        <w:t>.</w:t>
      </w:r>
      <w:r w:rsidR="00572AF0" w:rsidRPr="00B858A6">
        <w:rPr>
          <w:sz w:val="22"/>
          <w:szCs w:val="22"/>
        </w:rPr>
        <w:t>). En el caso de las exportaciones se realizan revisiones a ciertos productos químicos cuando sea necesario.</w:t>
      </w:r>
    </w:p>
    <w:p w:rsidR="00572AF0" w:rsidRPr="00B858A6" w:rsidRDefault="00572AF0" w:rsidP="00D4302C">
      <w:pPr>
        <w:pStyle w:val="ListParagraph"/>
        <w:numPr>
          <w:ilvl w:val="0"/>
          <w:numId w:val="59"/>
        </w:numPr>
        <w:jc w:val="both"/>
        <w:rPr>
          <w:sz w:val="22"/>
          <w:szCs w:val="22"/>
        </w:rPr>
      </w:pPr>
      <w:r w:rsidRPr="00B858A6">
        <w:rPr>
          <w:sz w:val="22"/>
          <w:szCs w:val="22"/>
          <w:u w:val="single"/>
        </w:rPr>
        <w:t>Control a posteriori</w:t>
      </w:r>
      <w:r w:rsidRPr="00B858A6">
        <w:rPr>
          <w:sz w:val="22"/>
          <w:szCs w:val="22"/>
        </w:rPr>
        <w:t xml:space="preserve">: Se realizan para verificar la veracidad y efectividad de la información declarada. </w:t>
      </w:r>
    </w:p>
    <w:p w:rsidR="00B3764A" w:rsidRPr="00B858A6" w:rsidRDefault="00572AF0" w:rsidP="00606EAC">
      <w:pPr>
        <w:jc w:val="both"/>
        <w:rPr>
          <w:sz w:val="22"/>
          <w:szCs w:val="22"/>
        </w:rPr>
      </w:pPr>
      <w:r w:rsidRPr="00B858A6">
        <w:rPr>
          <w:sz w:val="22"/>
          <w:szCs w:val="22"/>
        </w:rPr>
        <w:t xml:space="preserve">Por último, el Servicio </w:t>
      </w:r>
      <w:r w:rsidR="00B3764A" w:rsidRPr="00B858A6">
        <w:rPr>
          <w:sz w:val="22"/>
          <w:szCs w:val="22"/>
        </w:rPr>
        <w:t>cuenta con programas de fiscalización, control y seguimiento de importadores y exportadores</w:t>
      </w:r>
      <w:r w:rsidR="0038766D" w:rsidRPr="00B858A6">
        <w:rPr>
          <w:sz w:val="22"/>
          <w:szCs w:val="22"/>
        </w:rPr>
        <w:t xml:space="preserve">, respecto de químicos esenciales y precursores de ser desviados para la fabricación de drogas </w:t>
      </w:r>
      <w:r w:rsidR="002712F4" w:rsidRPr="00B858A6">
        <w:rPr>
          <w:sz w:val="22"/>
          <w:szCs w:val="22"/>
        </w:rPr>
        <w:t>ilícitas</w:t>
      </w:r>
      <w:r w:rsidR="0038766D" w:rsidRPr="00B858A6">
        <w:rPr>
          <w:sz w:val="22"/>
          <w:szCs w:val="22"/>
        </w:rPr>
        <w:t>. Existe el Registro Nacional de Operadores de Sustancias Químicas Controladas, cuyos inscritos deben mantener un inventario actualizado de las sustancias sujetas a control y de los movimientos que éstas realicen.</w:t>
      </w:r>
    </w:p>
    <w:p w:rsidR="00EE05B0" w:rsidRPr="00B858A6" w:rsidRDefault="00EE05B0" w:rsidP="00293B22">
      <w:pPr>
        <w:pStyle w:val="ListParagraph"/>
        <w:numPr>
          <w:ilvl w:val="0"/>
          <w:numId w:val="9"/>
        </w:numPr>
        <w:ind w:left="0" w:firstLine="0"/>
        <w:jc w:val="both"/>
        <w:rPr>
          <w:b/>
          <w:sz w:val="22"/>
          <w:szCs w:val="22"/>
        </w:rPr>
      </w:pPr>
      <w:r w:rsidRPr="00B858A6">
        <w:rPr>
          <w:b/>
          <w:sz w:val="22"/>
          <w:szCs w:val="22"/>
        </w:rPr>
        <w:t>Ministerio de Relaciones Exteriores</w:t>
      </w:r>
    </w:p>
    <w:p w:rsidR="00B72FFF" w:rsidRPr="00B858A6" w:rsidRDefault="00B72FFF" w:rsidP="00606EAC">
      <w:pPr>
        <w:jc w:val="both"/>
        <w:rPr>
          <w:sz w:val="22"/>
          <w:szCs w:val="22"/>
        </w:rPr>
      </w:pPr>
      <w:r w:rsidRPr="00B858A6">
        <w:rPr>
          <w:sz w:val="22"/>
          <w:szCs w:val="22"/>
        </w:rPr>
        <w:t>Este Ministerio tiene una relación indirecta con todas las etapas del ciclo de vida de las sustancias químicas, cuando ellas están relacionadas con la política exterior del país. En particular, asume el rol negociador y punto de referencia de nuestro país en todos los convenios internacionales relacionados con el medio ambiente, donde actualmente se abordan temas asociados a las etapas de importación, transporte, uso/manejo, exportación y disposición de las sustancias químicas.</w:t>
      </w:r>
    </w:p>
    <w:p w:rsidR="0038766D" w:rsidRPr="00B858A6" w:rsidRDefault="0038766D" w:rsidP="00606EAC">
      <w:pPr>
        <w:jc w:val="both"/>
        <w:rPr>
          <w:rFonts w:eastAsia="ArialMT" w:cs="ArialMT"/>
          <w:kern w:val="0"/>
          <w:sz w:val="22"/>
          <w:szCs w:val="22"/>
          <w:lang w:val="es-ES"/>
        </w:rPr>
      </w:pPr>
      <w:r w:rsidRPr="00B858A6">
        <w:rPr>
          <w:sz w:val="22"/>
          <w:szCs w:val="22"/>
        </w:rPr>
        <w:t>En este Ministerio existe una Dirección de Medio Ambiente la cual tiene entre sus funciones la coordinación de los diferentes ministerios para la participación de nuestro país en la elaboración y posterior implementación de convenios internacionales</w:t>
      </w:r>
      <w:r w:rsidR="002F1FE4" w:rsidRPr="00B858A6">
        <w:rPr>
          <w:sz w:val="22"/>
          <w:szCs w:val="22"/>
        </w:rPr>
        <w:t xml:space="preserve"> como el Convenio de Rotterdam, Convenio de Estocolmo, Convenio de</w:t>
      </w:r>
      <w:r w:rsidR="002712F4" w:rsidRPr="00B858A6">
        <w:rPr>
          <w:sz w:val="22"/>
          <w:szCs w:val="22"/>
        </w:rPr>
        <w:t xml:space="preserve"> Basilea, Protocolo de Montreal, </w:t>
      </w:r>
      <w:r w:rsidR="002F1FE4" w:rsidRPr="00B858A6">
        <w:rPr>
          <w:sz w:val="22"/>
          <w:szCs w:val="22"/>
        </w:rPr>
        <w:t>Convenio de Viena</w:t>
      </w:r>
      <w:r w:rsidR="002712F4" w:rsidRPr="00B858A6">
        <w:rPr>
          <w:rFonts w:eastAsia="ArialMT" w:cs="ArialMT"/>
          <w:kern w:val="0"/>
          <w:sz w:val="22"/>
          <w:szCs w:val="22"/>
          <w:lang w:val="es-ES"/>
        </w:rPr>
        <w:t xml:space="preserve"> y Compromisos OCDE</w:t>
      </w:r>
      <w:r w:rsidR="002F1FE4" w:rsidRPr="00B858A6">
        <w:rPr>
          <w:rFonts w:eastAsia="ArialMT" w:cs="ArialMT"/>
          <w:kern w:val="0"/>
          <w:sz w:val="22"/>
          <w:szCs w:val="22"/>
          <w:lang w:val="es-ES"/>
        </w:rPr>
        <w:t>.</w:t>
      </w:r>
    </w:p>
    <w:p w:rsidR="00B72FFF" w:rsidRPr="00B858A6" w:rsidRDefault="00B72FFF" w:rsidP="00293B22">
      <w:pPr>
        <w:pStyle w:val="ListParagraph"/>
        <w:numPr>
          <w:ilvl w:val="0"/>
          <w:numId w:val="9"/>
        </w:numPr>
        <w:ind w:left="0" w:firstLine="0"/>
        <w:jc w:val="both"/>
        <w:rPr>
          <w:b/>
          <w:sz w:val="22"/>
          <w:szCs w:val="22"/>
        </w:rPr>
      </w:pPr>
      <w:r w:rsidRPr="00B858A6">
        <w:rPr>
          <w:b/>
          <w:sz w:val="22"/>
          <w:szCs w:val="22"/>
        </w:rPr>
        <w:t xml:space="preserve">Ministerio de </w:t>
      </w:r>
      <w:r w:rsidR="001F6067" w:rsidRPr="00B858A6">
        <w:rPr>
          <w:b/>
          <w:sz w:val="22"/>
          <w:szCs w:val="22"/>
        </w:rPr>
        <w:t>Minería</w:t>
      </w:r>
    </w:p>
    <w:p w:rsidR="001F6067" w:rsidRPr="00B858A6" w:rsidRDefault="00F516CD" w:rsidP="00606EAC">
      <w:pPr>
        <w:jc w:val="both"/>
        <w:rPr>
          <w:sz w:val="22"/>
          <w:szCs w:val="22"/>
        </w:rPr>
      </w:pPr>
      <w:r w:rsidRPr="00B858A6">
        <w:rPr>
          <w:sz w:val="22"/>
          <w:szCs w:val="22"/>
        </w:rPr>
        <w:t>A través del Servicio Nacional de Geología y Minería (SERNAGEOMIN), este Ministerio tiene  la función de fiscalizar y controlar</w:t>
      </w:r>
      <w:r w:rsidR="002F1FE4" w:rsidRPr="00B858A6">
        <w:rPr>
          <w:sz w:val="22"/>
          <w:szCs w:val="22"/>
        </w:rPr>
        <w:t xml:space="preserve"> las actividades de seguridad minera y gestión ambiental aplicable a las empresas del sector minero, con el objeto de dar cumplimiento a la normativa vigente, por ejemplo, </w:t>
      </w:r>
      <w:r w:rsidRPr="00B858A6">
        <w:rPr>
          <w:sz w:val="22"/>
          <w:szCs w:val="22"/>
        </w:rPr>
        <w:t>lo que dice relación con el Reglamento de Seguridad Minera (DS 72/85) en cuanto a las normas referidas a la higiene y seguridad en la industria extractiva minera.</w:t>
      </w:r>
    </w:p>
    <w:p w:rsidR="00F516CD" w:rsidRPr="00B858A6" w:rsidRDefault="00F516CD" w:rsidP="00606EAC">
      <w:pPr>
        <w:jc w:val="both"/>
        <w:rPr>
          <w:sz w:val="22"/>
          <w:szCs w:val="22"/>
        </w:rPr>
      </w:pPr>
      <w:r w:rsidRPr="00B858A6">
        <w:rPr>
          <w:sz w:val="22"/>
          <w:szCs w:val="22"/>
        </w:rPr>
        <w:t xml:space="preserve">Además, a este servicio le corresponde el control del transporte, </w:t>
      </w:r>
      <w:r w:rsidR="00175A4F" w:rsidRPr="00B858A6">
        <w:rPr>
          <w:sz w:val="22"/>
          <w:szCs w:val="22"/>
        </w:rPr>
        <w:t>uso y manejo de los explosivos y sustancias peligrosas al interior de las faenas mineras, según se estipula en el Título III para la “Explotación de Minas Subterráneas” del Reglamento antes señalado.</w:t>
      </w:r>
    </w:p>
    <w:p w:rsidR="002F1FE4" w:rsidRPr="00B858A6" w:rsidRDefault="002F1FE4" w:rsidP="00606EAC">
      <w:pPr>
        <w:jc w:val="both"/>
        <w:rPr>
          <w:sz w:val="22"/>
          <w:szCs w:val="22"/>
        </w:rPr>
      </w:pPr>
      <w:r w:rsidRPr="00B858A6">
        <w:rPr>
          <w:sz w:val="22"/>
          <w:szCs w:val="22"/>
        </w:rPr>
        <w:t>Por último, otro objetivo de este Servicio apunta a fomentar y capacitar a los trabajadores del sector minero en materias de prevención de riesgos y medio ambiente, con el propósito de crear conciencia en ellos sobre trabajo en medio seguro y entorno sustentable.</w:t>
      </w:r>
    </w:p>
    <w:p w:rsidR="00175A4F" w:rsidRPr="00B858A6" w:rsidRDefault="00175A4F" w:rsidP="00293B22">
      <w:pPr>
        <w:pStyle w:val="ListParagraph"/>
        <w:numPr>
          <w:ilvl w:val="0"/>
          <w:numId w:val="9"/>
        </w:numPr>
        <w:ind w:left="0" w:firstLine="0"/>
        <w:jc w:val="both"/>
        <w:rPr>
          <w:b/>
          <w:sz w:val="22"/>
          <w:szCs w:val="22"/>
        </w:rPr>
      </w:pPr>
      <w:r w:rsidRPr="00B858A6">
        <w:rPr>
          <w:b/>
          <w:sz w:val="22"/>
          <w:szCs w:val="22"/>
        </w:rPr>
        <w:t>Ministerio de Defensa</w:t>
      </w:r>
    </w:p>
    <w:p w:rsidR="00175A4F" w:rsidRDefault="00175A4F" w:rsidP="00606EAC">
      <w:pPr>
        <w:jc w:val="both"/>
        <w:rPr>
          <w:rFonts w:eastAsia="ArialMT" w:cs="ArialMT"/>
          <w:kern w:val="0"/>
          <w:sz w:val="22"/>
          <w:szCs w:val="22"/>
          <w:lang w:val="es-ES"/>
        </w:rPr>
      </w:pPr>
      <w:r w:rsidRPr="00B858A6">
        <w:rPr>
          <w:sz w:val="22"/>
          <w:szCs w:val="22"/>
        </w:rPr>
        <w:t xml:space="preserve">La </w:t>
      </w:r>
      <w:r w:rsidRPr="00B858A6">
        <w:rPr>
          <w:rFonts w:cs="Arial-BoldMT"/>
          <w:bCs/>
          <w:kern w:val="0"/>
          <w:sz w:val="22"/>
          <w:szCs w:val="22"/>
          <w:lang w:val="es-ES"/>
        </w:rPr>
        <w:t>Dirección de Territorio Marítimo y Marina Mercante (DIRECTEMAR) e</w:t>
      </w:r>
      <w:r w:rsidRPr="00B858A6">
        <w:rPr>
          <w:rFonts w:eastAsia="ArialMT" w:cs="ArialMT"/>
          <w:kern w:val="0"/>
          <w:sz w:val="22"/>
          <w:szCs w:val="22"/>
          <w:lang w:val="es-ES"/>
        </w:rPr>
        <w:t>s el organismo de la Armada, que ejerce la administración marítima del litoral y aguas sometidas a jurisdicción nacional y controla técnica y profesionalmente a la Marina</w:t>
      </w:r>
      <w:r w:rsidRPr="00B858A6">
        <w:rPr>
          <w:rFonts w:cs="Arial-BoldMT"/>
          <w:bCs/>
          <w:kern w:val="0"/>
          <w:sz w:val="22"/>
          <w:szCs w:val="22"/>
          <w:lang w:val="es-ES"/>
        </w:rPr>
        <w:t xml:space="preserve"> </w:t>
      </w:r>
      <w:r w:rsidRPr="00B858A6">
        <w:rPr>
          <w:rFonts w:eastAsia="ArialMT" w:cs="ArialMT"/>
          <w:kern w:val="0"/>
          <w:sz w:val="22"/>
          <w:szCs w:val="22"/>
          <w:lang w:val="es-ES"/>
        </w:rPr>
        <w:t>Mercante Nacional y las demás actividades marítimas nacionales. La DIRECTEMAR,</w:t>
      </w:r>
      <w:r w:rsidRPr="00B858A6">
        <w:rPr>
          <w:rFonts w:cs="Arial-BoldMT"/>
          <w:bCs/>
          <w:kern w:val="0"/>
          <w:sz w:val="22"/>
          <w:szCs w:val="22"/>
          <w:lang w:val="es-ES"/>
        </w:rPr>
        <w:t xml:space="preserve"> </w:t>
      </w:r>
      <w:r w:rsidRPr="00B858A6">
        <w:rPr>
          <w:rFonts w:eastAsia="ArialMT" w:cs="ArialMT"/>
          <w:kern w:val="0"/>
          <w:sz w:val="22"/>
          <w:szCs w:val="22"/>
          <w:lang w:val="es-ES"/>
        </w:rPr>
        <w:t>constituye la autoridad marítima superior del país que debe cumplir las leyes del Estado,</w:t>
      </w:r>
      <w:r w:rsidRPr="00B858A6">
        <w:rPr>
          <w:rFonts w:cs="Arial-BoldMT"/>
          <w:bCs/>
          <w:kern w:val="0"/>
          <w:sz w:val="22"/>
          <w:szCs w:val="22"/>
          <w:lang w:val="es-ES"/>
        </w:rPr>
        <w:t xml:space="preserve"> </w:t>
      </w:r>
      <w:r w:rsidRPr="00B858A6">
        <w:rPr>
          <w:rFonts w:eastAsia="ArialMT" w:cs="ArialMT"/>
          <w:kern w:val="0"/>
          <w:sz w:val="22"/>
          <w:szCs w:val="22"/>
          <w:lang w:val="es-ES"/>
        </w:rPr>
        <w:t>los reglamentos de la Armada y con los convenios internacionales, para proteger la vida</w:t>
      </w:r>
      <w:r w:rsidRPr="00B858A6">
        <w:rPr>
          <w:rFonts w:cs="Arial-BoldMT"/>
          <w:bCs/>
          <w:kern w:val="0"/>
          <w:sz w:val="22"/>
          <w:szCs w:val="22"/>
          <w:lang w:val="es-ES"/>
        </w:rPr>
        <w:t xml:space="preserve"> </w:t>
      </w:r>
      <w:r w:rsidRPr="00B858A6">
        <w:rPr>
          <w:rFonts w:eastAsia="ArialMT" w:cs="ArialMT"/>
          <w:kern w:val="0"/>
          <w:sz w:val="22"/>
          <w:szCs w:val="22"/>
          <w:lang w:val="es-ES"/>
        </w:rPr>
        <w:t>humana en el mar, el medio ambiente, los recursos naturales y regular las actividades que</w:t>
      </w:r>
      <w:r w:rsidRPr="00B858A6">
        <w:rPr>
          <w:rFonts w:cs="Arial-BoldMT"/>
          <w:bCs/>
          <w:kern w:val="0"/>
          <w:sz w:val="22"/>
          <w:szCs w:val="22"/>
          <w:lang w:val="es-ES"/>
        </w:rPr>
        <w:t xml:space="preserve"> </w:t>
      </w:r>
      <w:r w:rsidRPr="00B858A6">
        <w:rPr>
          <w:rFonts w:eastAsia="ArialMT" w:cs="ArialMT"/>
          <w:kern w:val="0"/>
          <w:sz w:val="22"/>
          <w:szCs w:val="22"/>
          <w:lang w:val="es-ES"/>
        </w:rPr>
        <w:t>se desarrollan en el ámbito acuático de su jurisdicción, con el propósito de contribuir al</w:t>
      </w:r>
      <w:r w:rsidRPr="00B858A6">
        <w:rPr>
          <w:rFonts w:cs="Arial-BoldMT"/>
          <w:bCs/>
          <w:kern w:val="0"/>
          <w:sz w:val="22"/>
          <w:szCs w:val="22"/>
          <w:lang w:val="es-ES"/>
        </w:rPr>
        <w:t xml:space="preserve"> </w:t>
      </w:r>
      <w:r w:rsidRPr="00B858A6">
        <w:rPr>
          <w:rFonts w:eastAsia="ArialMT" w:cs="ArialMT"/>
          <w:kern w:val="0"/>
          <w:sz w:val="22"/>
          <w:szCs w:val="22"/>
          <w:lang w:val="es-ES"/>
        </w:rPr>
        <w:t>desarrollo marítimo de la nación.</w:t>
      </w:r>
    </w:p>
    <w:p w:rsidR="00B858A6" w:rsidRDefault="00B858A6" w:rsidP="00606EAC">
      <w:pPr>
        <w:jc w:val="both"/>
        <w:rPr>
          <w:rFonts w:eastAsia="ArialMT" w:cs="ArialMT"/>
          <w:kern w:val="0"/>
          <w:sz w:val="22"/>
          <w:szCs w:val="22"/>
          <w:lang w:val="es-ES"/>
        </w:rPr>
      </w:pPr>
      <w:r>
        <w:rPr>
          <w:rFonts w:eastAsia="ArialMT" w:cs="ArialMT"/>
          <w:kern w:val="0"/>
          <w:sz w:val="22"/>
          <w:szCs w:val="22"/>
          <w:lang w:val="es-ES"/>
        </w:rPr>
        <w:t xml:space="preserve">Además, la Dirección General de Aeronáutica Civil </w:t>
      </w:r>
      <w:r w:rsidR="005633CF">
        <w:rPr>
          <w:rFonts w:eastAsia="ArialMT" w:cs="ArialMT"/>
          <w:kern w:val="0"/>
          <w:sz w:val="22"/>
          <w:szCs w:val="22"/>
          <w:lang w:val="es-ES"/>
        </w:rPr>
        <w:t>es el organismo legalmente responsable de adoptar normas aprobadas internacionalmente en materia de transporte sin riesgo de mercancías peligrosas por vía aérea, cumpliendo también un rol fiscalizador de la reglamentación nacional vigente en este tema</w:t>
      </w:r>
      <w:r w:rsidR="004358A4">
        <w:rPr>
          <w:rFonts w:eastAsia="ArialMT" w:cs="ArialMT"/>
          <w:kern w:val="0"/>
          <w:sz w:val="22"/>
          <w:szCs w:val="22"/>
          <w:lang w:val="es-ES"/>
        </w:rPr>
        <w:t>. Conjuntamente, entre sus actividades se encuentran reportar sobre accidentes de transporte donde podrían estar involucradas mercancías peligrosas, planes de emergencia antes derrames de químicos y capacitación formal para los especialistas en seguridad de aviación y salvamento con extinción de incendio.</w:t>
      </w:r>
    </w:p>
    <w:p w:rsidR="00E5212E" w:rsidRPr="00B858A6" w:rsidRDefault="00D63ACE" w:rsidP="00606EAC">
      <w:pPr>
        <w:jc w:val="both"/>
        <w:rPr>
          <w:sz w:val="22"/>
          <w:szCs w:val="22"/>
        </w:rPr>
      </w:pPr>
      <w:r>
        <w:rPr>
          <w:rFonts w:eastAsia="ArialMT" w:cs="ArialMT"/>
          <w:kern w:val="0"/>
          <w:sz w:val="22"/>
          <w:szCs w:val="22"/>
        </w:rPr>
        <w:t>Por lo tanto</w:t>
      </w:r>
      <w:r w:rsidR="00B858A6" w:rsidRPr="00B858A6">
        <w:rPr>
          <w:rFonts w:eastAsia="ArialMT" w:cs="ArialMT"/>
          <w:kern w:val="0"/>
          <w:sz w:val="22"/>
          <w:szCs w:val="22"/>
          <w:lang w:val="es-ES"/>
        </w:rPr>
        <w:t>,</w:t>
      </w:r>
      <w:r>
        <w:rPr>
          <w:rFonts w:eastAsia="ArialMT" w:cs="ArialMT"/>
          <w:kern w:val="0"/>
          <w:sz w:val="22"/>
          <w:szCs w:val="22"/>
        </w:rPr>
        <w:t xml:space="preserve"> resumiendo la información referente a la institucionalidad existente,</w:t>
      </w:r>
      <w:r w:rsidR="00B858A6" w:rsidRPr="00B858A6">
        <w:rPr>
          <w:rFonts w:eastAsia="ArialMT" w:cs="ArialMT"/>
          <w:kern w:val="0"/>
          <w:sz w:val="22"/>
          <w:szCs w:val="22"/>
          <w:lang w:val="es-ES"/>
        </w:rPr>
        <w:t xml:space="preserve"> c</w:t>
      </w:r>
      <w:r w:rsidR="00E5212E" w:rsidRPr="00B858A6">
        <w:rPr>
          <w:rFonts w:eastAsia="ArialMT" w:cs="ArialMT"/>
          <w:kern w:val="0"/>
          <w:sz w:val="22"/>
          <w:szCs w:val="22"/>
          <w:lang w:val="es-ES"/>
        </w:rPr>
        <w:t>ada organismo gubernamental</w:t>
      </w:r>
      <w:r w:rsidR="00E5212E" w:rsidRPr="00B858A6">
        <w:rPr>
          <w:sz w:val="22"/>
          <w:szCs w:val="22"/>
        </w:rPr>
        <w:t xml:space="preserve"> tiene bien definidas sus funciones fiscalizadoras y existen las competencias y capacidades técnicas para ello, sin embargo, el grado de expertise no es pa</w:t>
      </w:r>
      <w:r w:rsidR="00D9179E" w:rsidRPr="00B858A6">
        <w:rPr>
          <w:sz w:val="22"/>
          <w:szCs w:val="22"/>
        </w:rPr>
        <w:t>rejo en todas las instituciones;</w:t>
      </w:r>
      <w:r w:rsidR="00E5212E" w:rsidRPr="00B858A6">
        <w:rPr>
          <w:sz w:val="22"/>
          <w:szCs w:val="22"/>
        </w:rPr>
        <w:t xml:space="preserve"> </w:t>
      </w:r>
      <w:r w:rsidR="00A95DCC" w:rsidRPr="00B858A6">
        <w:rPr>
          <w:sz w:val="22"/>
          <w:szCs w:val="22"/>
        </w:rPr>
        <w:t>en general</w:t>
      </w:r>
      <w:r w:rsidR="00D9179E" w:rsidRPr="00B858A6">
        <w:rPr>
          <w:sz w:val="22"/>
          <w:szCs w:val="22"/>
        </w:rPr>
        <w:t>,</w:t>
      </w:r>
      <w:r w:rsidR="00A95DCC" w:rsidRPr="00B858A6">
        <w:rPr>
          <w:sz w:val="22"/>
          <w:szCs w:val="22"/>
        </w:rPr>
        <w:t xml:space="preserve"> hay bastante capacidad fiscalizadora pero existen sectores donde es insuficiente debido principalmente a los limitados recursos técnicos y financieros de los organismos competentes.</w:t>
      </w:r>
    </w:p>
    <w:p w:rsidR="000B77FB" w:rsidRPr="00625CEC" w:rsidRDefault="00B858A6" w:rsidP="00606EAC">
      <w:pPr>
        <w:jc w:val="both"/>
        <w:rPr>
          <w:sz w:val="22"/>
          <w:szCs w:val="22"/>
        </w:rPr>
      </w:pPr>
      <w:r w:rsidRPr="00625CEC">
        <w:rPr>
          <w:sz w:val="22"/>
          <w:szCs w:val="22"/>
        </w:rPr>
        <w:t>Por otra parte,</w:t>
      </w:r>
      <w:r w:rsidR="000E4A94">
        <w:rPr>
          <w:sz w:val="22"/>
          <w:szCs w:val="22"/>
        </w:rPr>
        <w:t xml:space="preserve"> en lo que respecta a Capacitación y Formación </w:t>
      </w:r>
      <w:r w:rsidR="00605995" w:rsidRPr="00625CEC">
        <w:rPr>
          <w:sz w:val="22"/>
          <w:szCs w:val="22"/>
        </w:rPr>
        <w:t xml:space="preserve">en materias de </w:t>
      </w:r>
      <w:r w:rsidR="00B85AD6" w:rsidRPr="00625CEC">
        <w:rPr>
          <w:sz w:val="22"/>
          <w:szCs w:val="22"/>
        </w:rPr>
        <w:t>clasificación</w:t>
      </w:r>
      <w:r w:rsidR="007D2283">
        <w:rPr>
          <w:sz w:val="22"/>
          <w:szCs w:val="22"/>
        </w:rPr>
        <w:t xml:space="preserve"> de productos químicos</w:t>
      </w:r>
      <w:r w:rsidR="00B85AD6" w:rsidRPr="00625CEC">
        <w:rPr>
          <w:sz w:val="22"/>
          <w:szCs w:val="22"/>
        </w:rPr>
        <w:t xml:space="preserve"> y comunicación de</w:t>
      </w:r>
      <w:r w:rsidR="007D2283">
        <w:rPr>
          <w:sz w:val="22"/>
          <w:szCs w:val="22"/>
        </w:rPr>
        <w:t xml:space="preserve"> sus</w:t>
      </w:r>
      <w:r w:rsidR="00B85AD6" w:rsidRPr="00625CEC">
        <w:rPr>
          <w:sz w:val="22"/>
          <w:szCs w:val="22"/>
        </w:rPr>
        <w:t xml:space="preserve"> peligros, </w:t>
      </w:r>
      <w:r w:rsidR="00D63ACE">
        <w:rPr>
          <w:sz w:val="22"/>
          <w:szCs w:val="22"/>
        </w:rPr>
        <w:t>en el país existen</w:t>
      </w:r>
      <w:r w:rsidR="000E4A94" w:rsidRPr="00625CEC">
        <w:rPr>
          <w:sz w:val="22"/>
          <w:szCs w:val="22"/>
        </w:rPr>
        <w:t xml:space="preserve"> diversos programas</w:t>
      </w:r>
      <w:r w:rsidR="00D63ACE">
        <w:rPr>
          <w:sz w:val="22"/>
          <w:szCs w:val="22"/>
        </w:rPr>
        <w:t xml:space="preserve"> que</w:t>
      </w:r>
      <w:r w:rsidR="00605995" w:rsidRPr="00625CEC">
        <w:rPr>
          <w:sz w:val="22"/>
          <w:szCs w:val="22"/>
        </w:rPr>
        <w:t xml:space="preserve"> forman </w:t>
      </w:r>
      <w:r w:rsidR="00B85AD6" w:rsidRPr="00625CEC">
        <w:rPr>
          <w:sz w:val="22"/>
          <w:szCs w:val="22"/>
        </w:rPr>
        <w:t>parte de los planes de trabajo de distintos estamentos gubernamentales, principalmente en aquellos que se encuentran regidos p</w:t>
      </w:r>
      <w:r w:rsidR="00413518">
        <w:rPr>
          <w:sz w:val="22"/>
          <w:szCs w:val="22"/>
        </w:rPr>
        <w:t xml:space="preserve">or normativas referidas al tema y que entregan información a los trabajadores y público en general sobre los posibles riesgos asociados a la gestión de sustancias químicas. </w:t>
      </w:r>
      <w:r w:rsidR="00B85AD6" w:rsidRPr="00625CEC">
        <w:rPr>
          <w:sz w:val="22"/>
          <w:szCs w:val="22"/>
        </w:rPr>
        <w:t xml:space="preserve"> </w:t>
      </w:r>
      <w:r w:rsidR="000B77FB" w:rsidRPr="00625CEC">
        <w:rPr>
          <w:sz w:val="22"/>
          <w:szCs w:val="22"/>
        </w:rPr>
        <w:t>De manera general, los Ministerios realizan actividades destinadas a proveer experiencia y conocimiento sobre seguridad química, por ejemplo, en las siguientes instancias:</w:t>
      </w:r>
    </w:p>
    <w:p w:rsidR="000B77FB" w:rsidRPr="00625CEC" w:rsidRDefault="000B77FB" w:rsidP="00D4302C">
      <w:pPr>
        <w:pStyle w:val="ListParagraph"/>
        <w:numPr>
          <w:ilvl w:val="0"/>
          <w:numId w:val="60"/>
        </w:numPr>
        <w:jc w:val="both"/>
        <w:rPr>
          <w:sz w:val="22"/>
          <w:szCs w:val="22"/>
        </w:rPr>
      </w:pPr>
      <w:r w:rsidRPr="00625CEC">
        <w:rPr>
          <w:sz w:val="22"/>
          <w:szCs w:val="22"/>
        </w:rPr>
        <w:t>Actividades de capacitación a trabajadores en materia de higiene y seguridad en el trabajo, incluyendo riesgos relacionados a sustancias químicas en determinadas actividades económicas.</w:t>
      </w:r>
    </w:p>
    <w:p w:rsidR="000B77FB" w:rsidRPr="00625CEC" w:rsidRDefault="000B77FB" w:rsidP="00D4302C">
      <w:pPr>
        <w:pStyle w:val="ListParagraph"/>
        <w:numPr>
          <w:ilvl w:val="0"/>
          <w:numId w:val="60"/>
        </w:numPr>
        <w:jc w:val="both"/>
        <w:rPr>
          <w:sz w:val="22"/>
          <w:szCs w:val="22"/>
        </w:rPr>
      </w:pPr>
      <w:r w:rsidRPr="00625CEC">
        <w:rPr>
          <w:sz w:val="22"/>
          <w:szCs w:val="22"/>
        </w:rPr>
        <w:t>Actividades de difusión y capacitación del sector público y privado sobre riesgos asociados al manejo y gestión de sustancias químicas.</w:t>
      </w:r>
    </w:p>
    <w:p w:rsidR="000B77FB" w:rsidRPr="00625CEC" w:rsidRDefault="000B77FB" w:rsidP="00D4302C">
      <w:pPr>
        <w:pStyle w:val="ListParagraph"/>
        <w:numPr>
          <w:ilvl w:val="0"/>
          <w:numId w:val="60"/>
        </w:numPr>
        <w:jc w:val="both"/>
        <w:rPr>
          <w:sz w:val="22"/>
          <w:szCs w:val="22"/>
        </w:rPr>
      </w:pPr>
      <w:r w:rsidRPr="00625CEC">
        <w:rPr>
          <w:sz w:val="22"/>
          <w:szCs w:val="22"/>
        </w:rPr>
        <w:t>Actividades de capacitación de formación profesional enfocada</w:t>
      </w:r>
      <w:r w:rsidR="00497CCC">
        <w:rPr>
          <w:sz w:val="22"/>
          <w:szCs w:val="22"/>
        </w:rPr>
        <w:t>s</w:t>
      </w:r>
      <w:r w:rsidRPr="00625CEC">
        <w:rPr>
          <w:sz w:val="22"/>
          <w:szCs w:val="22"/>
        </w:rPr>
        <w:t xml:space="preserve"> a representantes</w:t>
      </w:r>
      <w:r w:rsidR="0098093B" w:rsidRPr="00625CEC">
        <w:rPr>
          <w:sz w:val="22"/>
          <w:szCs w:val="22"/>
        </w:rPr>
        <w:t xml:space="preserve"> del Sistema de Protección Civil</w:t>
      </w:r>
      <w:r w:rsidR="00497CCC">
        <w:rPr>
          <w:sz w:val="22"/>
          <w:szCs w:val="22"/>
        </w:rPr>
        <w:t>, ONEMI, entre otros,</w:t>
      </w:r>
      <w:r w:rsidR="0098093B" w:rsidRPr="00625CEC">
        <w:rPr>
          <w:sz w:val="22"/>
          <w:szCs w:val="22"/>
        </w:rPr>
        <w:t xml:space="preserve"> en temas como: materiales peligrosos, planes de emergencia, etc.</w:t>
      </w:r>
    </w:p>
    <w:p w:rsidR="007D2283" w:rsidRDefault="00DE55F9" w:rsidP="00413518">
      <w:pPr>
        <w:jc w:val="both"/>
        <w:rPr>
          <w:sz w:val="22"/>
          <w:szCs w:val="22"/>
        </w:rPr>
      </w:pPr>
      <w:r>
        <w:rPr>
          <w:sz w:val="22"/>
          <w:szCs w:val="22"/>
        </w:rPr>
        <w:t>E</w:t>
      </w:r>
      <w:r w:rsidR="001C5A39" w:rsidRPr="00625CEC">
        <w:rPr>
          <w:sz w:val="22"/>
          <w:szCs w:val="22"/>
        </w:rPr>
        <w:t xml:space="preserve">n el caso de la Dirección del Trabajo, se realizan capacitaciones anuales en conjunto con los gremios, las cuales se enfocan en riesgos contingentes del momento, es decir, no cuentan con un programa a largo plazo si no que se priorizan temas relevantes de acuerdo a las necesidades. </w:t>
      </w:r>
      <w:r w:rsidR="002712F4" w:rsidRPr="00625CEC">
        <w:rPr>
          <w:sz w:val="22"/>
          <w:szCs w:val="22"/>
        </w:rPr>
        <w:t xml:space="preserve">También las mutualidades disponen de programas anuales de capacitación respecto a la </w:t>
      </w:r>
      <w:r w:rsidR="005F229F" w:rsidRPr="00625CEC">
        <w:rPr>
          <w:sz w:val="22"/>
          <w:szCs w:val="22"/>
        </w:rPr>
        <w:t xml:space="preserve">seguridad y </w:t>
      </w:r>
      <w:r w:rsidR="002712F4" w:rsidRPr="00625CEC">
        <w:rPr>
          <w:sz w:val="22"/>
          <w:szCs w:val="22"/>
        </w:rPr>
        <w:t>protecci</w:t>
      </w:r>
      <w:r w:rsidR="005F229F" w:rsidRPr="00625CEC">
        <w:rPr>
          <w:sz w:val="22"/>
          <w:szCs w:val="22"/>
        </w:rPr>
        <w:t>ón de la salud de sus afiliados.</w:t>
      </w:r>
      <w:r w:rsidR="002712F4" w:rsidRPr="00625CEC">
        <w:rPr>
          <w:sz w:val="22"/>
          <w:szCs w:val="22"/>
        </w:rPr>
        <w:t xml:space="preserve"> </w:t>
      </w:r>
      <w:r w:rsidR="001C5A39" w:rsidRPr="00625CEC">
        <w:rPr>
          <w:sz w:val="22"/>
          <w:szCs w:val="22"/>
        </w:rPr>
        <w:t xml:space="preserve">Por lo tanto, </w:t>
      </w:r>
      <w:r w:rsidR="00EC7C4C" w:rsidRPr="00625CEC">
        <w:rPr>
          <w:sz w:val="22"/>
          <w:szCs w:val="22"/>
        </w:rPr>
        <w:t>existirían</w:t>
      </w:r>
      <w:r w:rsidR="001C5A39" w:rsidRPr="00625CEC">
        <w:rPr>
          <w:sz w:val="22"/>
          <w:szCs w:val="22"/>
        </w:rPr>
        <w:t xml:space="preserve"> recursos disponibles para abarcar capacitaciones en el tema GHS pero es un proceso que debe planearse a largo plazo comenzando con definir de qué manera se enfocaría y a qué grupos de trabajadores</w:t>
      </w:r>
      <w:r w:rsidR="00413518">
        <w:rPr>
          <w:sz w:val="22"/>
          <w:szCs w:val="22"/>
        </w:rPr>
        <w:t xml:space="preserve"> y público</w:t>
      </w:r>
      <w:r w:rsidR="001C5A39" w:rsidRPr="00625CEC">
        <w:rPr>
          <w:sz w:val="22"/>
          <w:szCs w:val="22"/>
        </w:rPr>
        <w:t xml:space="preserve"> irían dirigidas.</w:t>
      </w:r>
      <w:r>
        <w:rPr>
          <w:sz w:val="22"/>
          <w:szCs w:val="22"/>
        </w:rPr>
        <w:t xml:space="preserve"> E</w:t>
      </w:r>
      <w:r w:rsidR="001C5A39" w:rsidRPr="00625CEC">
        <w:rPr>
          <w:sz w:val="22"/>
          <w:szCs w:val="22"/>
        </w:rPr>
        <w:t>l Ministerio de Transporte y Telecomunicaciones realiza cursos destinados a los conductores que transportan sustancias quím</w:t>
      </w:r>
      <w:r w:rsidR="001C5A39" w:rsidRPr="007315BC">
        <w:rPr>
          <w:sz w:val="22"/>
          <w:szCs w:val="22"/>
        </w:rPr>
        <w:t>icas, donde se incluye información sobre la comunicación de peligros a través del etiquetado durante el transporte.</w:t>
      </w:r>
      <w:r w:rsidR="00140CBC" w:rsidRPr="007315BC">
        <w:rPr>
          <w:sz w:val="22"/>
          <w:szCs w:val="22"/>
        </w:rPr>
        <w:t xml:space="preserve"> Así mismo</w:t>
      </w:r>
      <w:r w:rsidR="007315BC" w:rsidRPr="007315BC">
        <w:rPr>
          <w:sz w:val="22"/>
          <w:szCs w:val="22"/>
        </w:rPr>
        <w:t>,</w:t>
      </w:r>
      <w:r w:rsidR="00140CBC" w:rsidRPr="007315BC">
        <w:rPr>
          <w:sz w:val="22"/>
          <w:szCs w:val="22"/>
        </w:rPr>
        <w:t xml:space="preserve"> el Min</w:t>
      </w:r>
      <w:r w:rsidR="007315BC" w:rsidRPr="007315BC">
        <w:rPr>
          <w:sz w:val="22"/>
          <w:szCs w:val="22"/>
        </w:rPr>
        <w:t>isterio</w:t>
      </w:r>
      <w:r w:rsidR="00140CBC" w:rsidRPr="007315BC">
        <w:rPr>
          <w:sz w:val="22"/>
          <w:szCs w:val="22"/>
        </w:rPr>
        <w:t xml:space="preserve"> de Agric</w:t>
      </w:r>
      <w:r w:rsidR="007315BC" w:rsidRPr="007315BC">
        <w:rPr>
          <w:sz w:val="22"/>
          <w:szCs w:val="22"/>
        </w:rPr>
        <w:t>ultura</w:t>
      </w:r>
      <w:r w:rsidR="00413518">
        <w:rPr>
          <w:sz w:val="22"/>
          <w:szCs w:val="22"/>
        </w:rPr>
        <w:t>, a través del SAG,</w:t>
      </w:r>
      <w:r w:rsidR="007315BC" w:rsidRPr="007315BC">
        <w:rPr>
          <w:sz w:val="22"/>
          <w:szCs w:val="22"/>
        </w:rPr>
        <w:t xml:space="preserve"> ha trabajado en diversos</w:t>
      </w:r>
      <w:r w:rsidR="00140CBC" w:rsidRPr="007315BC">
        <w:rPr>
          <w:sz w:val="22"/>
          <w:szCs w:val="22"/>
        </w:rPr>
        <w:t xml:space="preserve"> proyectos para incorporar las Buenas Prácticas Agrícolas en la pequeña y mediana agricultura, </w:t>
      </w:r>
      <w:r w:rsidR="007315BC">
        <w:rPr>
          <w:sz w:val="22"/>
          <w:szCs w:val="22"/>
        </w:rPr>
        <w:t xml:space="preserve">por ejemplo, la </w:t>
      </w:r>
      <w:r w:rsidR="00140CBC" w:rsidRPr="007315BC">
        <w:rPr>
          <w:sz w:val="22"/>
          <w:szCs w:val="22"/>
        </w:rPr>
        <w:t xml:space="preserve">creación de </w:t>
      </w:r>
      <w:r w:rsidR="00543BCD">
        <w:rPr>
          <w:sz w:val="22"/>
          <w:szCs w:val="22"/>
        </w:rPr>
        <w:t>una</w:t>
      </w:r>
      <w:r w:rsidR="00413518">
        <w:rPr>
          <w:sz w:val="22"/>
          <w:szCs w:val="22"/>
        </w:rPr>
        <w:t xml:space="preserve"> mesa intersectorial hortícola, además de realizar charlas de difusión </w:t>
      </w:r>
      <w:r w:rsidR="007E35B2">
        <w:rPr>
          <w:sz w:val="22"/>
          <w:szCs w:val="22"/>
        </w:rPr>
        <w:t>a los trabajadores agrícolas.</w:t>
      </w:r>
      <w:r w:rsidR="006F4ACA">
        <w:rPr>
          <w:sz w:val="22"/>
          <w:szCs w:val="22"/>
        </w:rPr>
        <w:t xml:space="preserve"> Las instancias mencionadas están mayormente enfocadas en capacitar</w:t>
      </w:r>
      <w:r w:rsidR="00D16CFA">
        <w:rPr>
          <w:sz w:val="22"/>
          <w:szCs w:val="22"/>
        </w:rPr>
        <w:t xml:space="preserve"> a trabajadores</w:t>
      </w:r>
      <w:r w:rsidR="006F4ACA">
        <w:rPr>
          <w:sz w:val="22"/>
          <w:szCs w:val="22"/>
        </w:rPr>
        <w:t xml:space="preserve"> sobre la comunicación de los peligros asociados a las sustancias químicas, no realizándose actividades específicas destinadas a proveer capacidades en materia de clasificación de productos químicos</w:t>
      </w:r>
      <w:r w:rsidR="00497CCC">
        <w:rPr>
          <w:sz w:val="22"/>
          <w:szCs w:val="22"/>
        </w:rPr>
        <w:t>.</w:t>
      </w:r>
    </w:p>
    <w:p w:rsidR="005F229F" w:rsidRPr="00625CEC" w:rsidRDefault="00633428" w:rsidP="00606EAC">
      <w:pPr>
        <w:jc w:val="both"/>
        <w:rPr>
          <w:sz w:val="22"/>
          <w:szCs w:val="22"/>
        </w:rPr>
      </w:pPr>
      <w:r>
        <w:rPr>
          <w:sz w:val="22"/>
          <w:szCs w:val="22"/>
        </w:rPr>
        <w:t>En el tema de información sobre intoxicaciones, e</w:t>
      </w:r>
      <w:r w:rsidR="008F07CB" w:rsidRPr="00625CEC">
        <w:rPr>
          <w:sz w:val="22"/>
          <w:szCs w:val="22"/>
        </w:rPr>
        <w:t xml:space="preserve">n el país existen algunas organizaciones del sector de investigación que están enfocados en </w:t>
      </w:r>
      <w:r>
        <w:rPr>
          <w:sz w:val="22"/>
          <w:szCs w:val="22"/>
        </w:rPr>
        <w:t>estos temas</w:t>
      </w:r>
      <w:r w:rsidR="008F07CB" w:rsidRPr="00625CEC">
        <w:rPr>
          <w:sz w:val="22"/>
          <w:szCs w:val="22"/>
        </w:rPr>
        <w:t>. Uno de ellos es el Centro de Información Toxicológica</w:t>
      </w:r>
      <w:r w:rsidR="007F22CB" w:rsidRPr="00625CEC">
        <w:rPr>
          <w:sz w:val="22"/>
          <w:szCs w:val="22"/>
        </w:rPr>
        <w:t xml:space="preserve"> (CITUC) y</w:t>
      </w:r>
      <w:r w:rsidR="00B86279" w:rsidRPr="00625CEC">
        <w:rPr>
          <w:sz w:val="22"/>
          <w:szCs w:val="22"/>
        </w:rPr>
        <w:t xml:space="preserve"> Centro de I</w:t>
      </w:r>
      <w:r w:rsidR="003D6181" w:rsidRPr="00625CEC">
        <w:rPr>
          <w:sz w:val="22"/>
          <w:szCs w:val="22"/>
        </w:rPr>
        <w:t xml:space="preserve">nformación de Emergencia Químicas (CITUC Químico) de la Pontifica Universidad Católica de Chile, que entrega información y asesoría a </w:t>
      </w:r>
      <w:r w:rsidR="00625CEC" w:rsidRPr="00625CEC">
        <w:rPr>
          <w:sz w:val="22"/>
          <w:szCs w:val="22"/>
        </w:rPr>
        <w:t xml:space="preserve">los </w:t>
      </w:r>
      <w:r w:rsidR="003D6181" w:rsidRPr="00625CEC">
        <w:rPr>
          <w:sz w:val="22"/>
          <w:szCs w:val="22"/>
        </w:rPr>
        <w:t xml:space="preserve">Servicios de Salud, centros hospitalarios, instituciones, empresas y particulares en caso de intoxicaciones e incidentes con medicamentos y sustancias químicas, además de realizar actividades de capacitación, difusión y registro de estadísticas de intoxicación y accidentes. </w:t>
      </w:r>
    </w:p>
    <w:p w:rsidR="0034547D" w:rsidRPr="00625CEC" w:rsidRDefault="00FD52A7" w:rsidP="00606EAC">
      <w:pPr>
        <w:jc w:val="both"/>
        <w:rPr>
          <w:sz w:val="22"/>
          <w:szCs w:val="22"/>
        </w:rPr>
      </w:pPr>
      <w:r w:rsidRPr="00625CEC">
        <w:rPr>
          <w:sz w:val="22"/>
          <w:szCs w:val="22"/>
        </w:rPr>
        <w:t xml:space="preserve">La preparación y respuesta a emergencias le concierne a </w:t>
      </w:r>
      <w:r w:rsidR="00B86279" w:rsidRPr="00625CEC">
        <w:rPr>
          <w:sz w:val="22"/>
          <w:szCs w:val="22"/>
        </w:rPr>
        <w:t>organismos, servicios e i</w:t>
      </w:r>
      <w:r w:rsidRPr="00625CEC">
        <w:rPr>
          <w:sz w:val="22"/>
          <w:szCs w:val="22"/>
        </w:rPr>
        <w:t xml:space="preserve">nstituciones, tanto del sector público como del privado, incluyendo entidades de carácter voluntario y a la comunidad organizada, bajo la coordinación de la Oficina Nacional de Emergencia del Ministerio del Interior, ONEMI. Se cuenta con un Plan Nacional de Protección Civil </w:t>
      </w:r>
      <w:r w:rsidR="006D6ED1" w:rsidRPr="00625CEC">
        <w:rPr>
          <w:sz w:val="22"/>
          <w:szCs w:val="22"/>
        </w:rPr>
        <w:t xml:space="preserve">desde el año 2002 </w:t>
      </w:r>
      <w:r w:rsidRPr="00625CEC">
        <w:rPr>
          <w:sz w:val="22"/>
          <w:szCs w:val="22"/>
        </w:rPr>
        <w:t>cuyo objetivo es desarrollar acciones permanentes para la prevención y atención de emergencias y/o desastres</w:t>
      </w:r>
      <w:r w:rsidR="006149A9" w:rsidRPr="00625CEC">
        <w:rPr>
          <w:sz w:val="22"/>
          <w:szCs w:val="22"/>
        </w:rPr>
        <w:t xml:space="preserve"> en el país y el cual dispone la creación de Comités de Protección </w:t>
      </w:r>
      <w:r w:rsidR="006C6488" w:rsidRPr="00625CEC">
        <w:rPr>
          <w:sz w:val="22"/>
          <w:szCs w:val="22"/>
        </w:rPr>
        <w:t xml:space="preserve">Civil a nivel Nacional, Regional, Provincial y Comunal </w:t>
      </w:r>
      <w:r w:rsidR="006149A9" w:rsidRPr="00625CEC">
        <w:rPr>
          <w:sz w:val="22"/>
          <w:szCs w:val="22"/>
        </w:rPr>
        <w:t>donde están representados los servicios, organismos, ramas de las Fuerzas Armadas y Carabineros e instituciones de los sectores públicos y privados involucrados en la prevenci</w:t>
      </w:r>
      <w:r w:rsidR="006C6488" w:rsidRPr="00625CEC">
        <w:rPr>
          <w:sz w:val="22"/>
          <w:szCs w:val="22"/>
        </w:rPr>
        <w:t>ón de riesgos cuya función es aportar a la gestión en la prevención, mitigación y preparación frente a emergencias. Adicionalmente, en situaciones de emergencia, se desprende de ellos</w:t>
      </w:r>
      <w:r w:rsidR="006D6ED1" w:rsidRPr="00625CEC">
        <w:rPr>
          <w:sz w:val="22"/>
          <w:szCs w:val="22"/>
        </w:rPr>
        <w:t xml:space="preserve"> los Comités de Operaciones de Emergencia</w:t>
      </w:r>
      <w:r w:rsidR="00BF304C" w:rsidRPr="00625CEC">
        <w:rPr>
          <w:sz w:val="22"/>
          <w:szCs w:val="22"/>
        </w:rPr>
        <w:t xml:space="preserve"> (COE)</w:t>
      </w:r>
      <w:r w:rsidR="006C6488" w:rsidRPr="00625CEC">
        <w:rPr>
          <w:sz w:val="22"/>
          <w:szCs w:val="22"/>
        </w:rPr>
        <w:t>, quienes actuarán en las fases de respuesta y recuperación frente a una emergencia.</w:t>
      </w:r>
      <w:r w:rsidR="00BF304C" w:rsidRPr="00625CEC">
        <w:rPr>
          <w:sz w:val="22"/>
          <w:szCs w:val="22"/>
        </w:rPr>
        <w:t xml:space="preserve"> </w:t>
      </w:r>
      <w:r w:rsidR="002712F4" w:rsidRPr="00625CEC">
        <w:rPr>
          <w:sz w:val="22"/>
          <w:szCs w:val="22"/>
        </w:rPr>
        <w:t xml:space="preserve">A partir de las lecciones aprendidas con motivo del </w:t>
      </w:r>
      <w:r w:rsidR="00BF304C" w:rsidRPr="00625CEC">
        <w:rPr>
          <w:sz w:val="22"/>
          <w:szCs w:val="22"/>
        </w:rPr>
        <w:t xml:space="preserve">Terremoto del año 2010, se </w:t>
      </w:r>
      <w:r w:rsidR="00BF304C" w:rsidRPr="00625CEC">
        <w:rPr>
          <w:rFonts w:cs="Tahoma"/>
          <w:sz w:val="22"/>
          <w:szCs w:val="22"/>
        </w:rPr>
        <w:t>aplic</w:t>
      </w:r>
      <w:r w:rsidR="002712F4" w:rsidRPr="00625CEC">
        <w:rPr>
          <w:rFonts w:cs="Tahoma"/>
          <w:sz w:val="22"/>
          <w:szCs w:val="22"/>
        </w:rPr>
        <w:t xml:space="preserve">ó </w:t>
      </w:r>
      <w:r w:rsidR="00BF304C" w:rsidRPr="00625CEC">
        <w:rPr>
          <w:rFonts w:cs="Tahoma"/>
          <w:sz w:val="22"/>
          <w:szCs w:val="22"/>
        </w:rPr>
        <w:t xml:space="preserve">urgencia al proyecto de ley que establece el Sistema Nacional de Emergencia y Protección Civil y </w:t>
      </w:r>
      <w:r w:rsidR="00B86279" w:rsidRPr="00625CEC">
        <w:rPr>
          <w:rFonts w:cs="Tahoma"/>
          <w:sz w:val="22"/>
          <w:szCs w:val="22"/>
        </w:rPr>
        <w:t xml:space="preserve">que </w:t>
      </w:r>
      <w:r w:rsidR="00BF304C" w:rsidRPr="00625CEC">
        <w:rPr>
          <w:rFonts w:cs="Tahoma"/>
          <w:sz w:val="22"/>
          <w:szCs w:val="22"/>
        </w:rPr>
        <w:t>crea la Agencia Nacional de Protección Civil, de manera de disponer de mecanismos adecuados para salvaguardar a la población frente a situaciones de emergencia</w:t>
      </w:r>
      <w:r w:rsidR="002712F4" w:rsidRPr="00625CEC">
        <w:rPr>
          <w:rFonts w:cs="Tahoma"/>
          <w:sz w:val="22"/>
          <w:szCs w:val="22"/>
        </w:rPr>
        <w:t xml:space="preserve">. </w:t>
      </w:r>
      <w:r w:rsidR="0034547D" w:rsidRPr="00625CEC">
        <w:rPr>
          <w:sz w:val="22"/>
          <w:szCs w:val="22"/>
        </w:rPr>
        <w:t xml:space="preserve">A pesar que existe consenso en la necesidad de priorizar la tramitación de este proyecto de ley, a la fecha no se han </w:t>
      </w:r>
      <w:r w:rsidR="00F30387" w:rsidRPr="00625CEC">
        <w:rPr>
          <w:sz w:val="22"/>
          <w:szCs w:val="22"/>
        </w:rPr>
        <w:t>alcanzado avances significativos</w:t>
      </w:r>
      <w:r w:rsidR="0034547D" w:rsidRPr="00625CEC">
        <w:rPr>
          <w:sz w:val="22"/>
          <w:szCs w:val="22"/>
        </w:rPr>
        <w:t>.</w:t>
      </w:r>
    </w:p>
    <w:p w:rsidR="004B5F6A" w:rsidRDefault="004B5F6A" w:rsidP="00606EAC">
      <w:pPr>
        <w:autoSpaceDE w:val="0"/>
        <w:autoSpaceDN w:val="0"/>
        <w:adjustRightInd w:val="0"/>
        <w:jc w:val="both"/>
        <w:rPr>
          <w:rFonts w:eastAsia="ArialMT" w:cs="ArialMT"/>
          <w:kern w:val="0"/>
          <w:sz w:val="22"/>
          <w:szCs w:val="22"/>
          <w:lang w:val="es-ES"/>
        </w:rPr>
      </w:pPr>
      <w:r w:rsidRPr="00625CEC">
        <w:rPr>
          <w:sz w:val="22"/>
          <w:szCs w:val="22"/>
        </w:rPr>
        <w:t>Finalmente, en cuanto a los recursos</w:t>
      </w:r>
      <w:r w:rsidR="0024659D" w:rsidRPr="00625CEC">
        <w:rPr>
          <w:sz w:val="22"/>
          <w:szCs w:val="22"/>
        </w:rPr>
        <w:t xml:space="preserve"> financieros</w:t>
      </w:r>
      <w:r w:rsidRPr="00625CEC">
        <w:rPr>
          <w:sz w:val="22"/>
          <w:szCs w:val="22"/>
        </w:rPr>
        <w:t xml:space="preserve"> que dispone el Gobierno para realizar las actividades relacionadas con la gestión racional de la</w:t>
      </w:r>
      <w:r w:rsidR="00625CEC" w:rsidRPr="00625CEC">
        <w:rPr>
          <w:sz w:val="22"/>
          <w:szCs w:val="22"/>
        </w:rPr>
        <w:t>s</w:t>
      </w:r>
      <w:r w:rsidRPr="00625CEC">
        <w:rPr>
          <w:sz w:val="22"/>
          <w:szCs w:val="22"/>
        </w:rPr>
        <w:t xml:space="preserve"> sustancias química</w:t>
      </w:r>
      <w:r w:rsidR="00625CEC" w:rsidRPr="00625CEC">
        <w:rPr>
          <w:sz w:val="22"/>
          <w:szCs w:val="22"/>
        </w:rPr>
        <w:t>s</w:t>
      </w:r>
      <w:r w:rsidRPr="00625CEC">
        <w:rPr>
          <w:sz w:val="22"/>
          <w:szCs w:val="22"/>
        </w:rPr>
        <w:t xml:space="preserve">, es difícil </w:t>
      </w:r>
      <w:r w:rsidR="0024659D" w:rsidRPr="00625CEC">
        <w:rPr>
          <w:sz w:val="22"/>
          <w:szCs w:val="22"/>
        </w:rPr>
        <w:t xml:space="preserve">de determinar la cantidad debido a que ninguna de las instituciones públicas dedica su </w:t>
      </w:r>
      <w:r w:rsidR="0024659D" w:rsidRPr="0029620A">
        <w:rPr>
          <w:sz w:val="22"/>
          <w:szCs w:val="22"/>
        </w:rPr>
        <w:t xml:space="preserve">accionar exclusivamente en este ámbito, razón por la cual también los </w:t>
      </w:r>
      <w:r w:rsidR="003074A2" w:rsidRPr="0029620A">
        <w:rPr>
          <w:sz w:val="22"/>
          <w:szCs w:val="22"/>
        </w:rPr>
        <w:t>recursos humanos disponibles</w:t>
      </w:r>
      <w:r w:rsidR="0024659D" w:rsidRPr="0029620A">
        <w:rPr>
          <w:sz w:val="22"/>
          <w:szCs w:val="22"/>
        </w:rPr>
        <w:t xml:space="preserve"> asumen grados de polifuncionalidad dentro de las instituciones.</w:t>
      </w:r>
      <w:r w:rsidR="008C7586" w:rsidRPr="0029620A">
        <w:rPr>
          <w:sz w:val="22"/>
          <w:szCs w:val="22"/>
        </w:rPr>
        <w:t xml:space="preserve">  En forma general, la capacidad técnica en los Ministerios y Comisiones se enfoca principalmente en profesionales del área Química, Agrono</w:t>
      </w:r>
      <w:r w:rsidR="004F09FA" w:rsidRPr="0029620A">
        <w:rPr>
          <w:sz w:val="22"/>
          <w:szCs w:val="22"/>
        </w:rPr>
        <w:t>mía, Ingeniería, Biología, Socio</w:t>
      </w:r>
      <w:r w:rsidR="008C7586" w:rsidRPr="0029620A">
        <w:rPr>
          <w:sz w:val="22"/>
          <w:szCs w:val="22"/>
        </w:rPr>
        <w:t xml:space="preserve">logía, </w:t>
      </w:r>
      <w:r w:rsidR="005F229F" w:rsidRPr="0029620A">
        <w:rPr>
          <w:sz w:val="22"/>
          <w:szCs w:val="22"/>
        </w:rPr>
        <w:t xml:space="preserve">Jurídica, </w:t>
      </w:r>
      <w:r w:rsidR="008C7586" w:rsidRPr="0029620A">
        <w:rPr>
          <w:sz w:val="22"/>
          <w:szCs w:val="22"/>
        </w:rPr>
        <w:t>entre otros, mientras que las principales destrezas desarrolladas están enfocadas en la elaboración y análisis de normas, fiscalización de la legislación vigente</w:t>
      </w:r>
      <w:r w:rsidR="008C7586" w:rsidRPr="0029620A">
        <w:rPr>
          <w:rFonts w:eastAsia="ArialMT" w:cs="ArialMT"/>
          <w:kern w:val="0"/>
          <w:sz w:val="22"/>
          <w:szCs w:val="22"/>
          <w:lang w:val="es-ES"/>
        </w:rPr>
        <w:t>,</w:t>
      </w:r>
      <w:r w:rsidR="00934D5F" w:rsidRPr="0029620A">
        <w:rPr>
          <w:rFonts w:eastAsia="ArialMT" w:cs="ArialMT"/>
          <w:kern w:val="0"/>
          <w:sz w:val="22"/>
          <w:szCs w:val="22"/>
          <w:lang w:val="es-ES"/>
        </w:rPr>
        <w:t xml:space="preserve"> </w:t>
      </w:r>
      <w:r w:rsidR="008C7586" w:rsidRPr="0029620A">
        <w:rPr>
          <w:rFonts w:eastAsia="ArialMT" w:cs="ArialMT"/>
          <w:kern w:val="0"/>
          <w:sz w:val="22"/>
          <w:szCs w:val="22"/>
          <w:lang w:val="es-ES"/>
        </w:rPr>
        <w:t>tratamiento de temas relacionados con plaguicidas y fertilizantes, efectos de las sustancias químicas en la salud de los trabajadores, gestión e implementación de proyectos ambientales, etc.</w:t>
      </w:r>
    </w:p>
    <w:p w:rsidR="00EC64F6" w:rsidRPr="0029620A" w:rsidRDefault="00EC64F6" w:rsidP="00872364">
      <w:pPr>
        <w:pStyle w:val="Heading3"/>
        <w:spacing w:after="180" w:line="264" w:lineRule="auto"/>
        <w:ind w:left="0" w:firstLine="0"/>
      </w:pPr>
      <w:bookmarkStart w:id="100" w:name="_Toc418168897"/>
      <w:r w:rsidRPr="0029620A">
        <w:t>Sector Privado e Industria</w:t>
      </w:r>
      <w:bookmarkEnd w:id="100"/>
    </w:p>
    <w:p w:rsidR="003204CE" w:rsidRPr="0029620A" w:rsidRDefault="00692481" w:rsidP="00606EAC">
      <w:pPr>
        <w:jc w:val="both"/>
        <w:rPr>
          <w:sz w:val="22"/>
          <w:szCs w:val="22"/>
        </w:rPr>
      </w:pPr>
      <w:r w:rsidRPr="0029620A">
        <w:rPr>
          <w:sz w:val="22"/>
          <w:szCs w:val="22"/>
        </w:rPr>
        <w:t>La importancia de conocer</w:t>
      </w:r>
      <w:r w:rsidR="003204CE" w:rsidRPr="0029620A">
        <w:rPr>
          <w:sz w:val="22"/>
          <w:szCs w:val="22"/>
        </w:rPr>
        <w:t xml:space="preserve"> y evaluar</w:t>
      </w:r>
      <w:r w:rsidRPr="0029620A">
        <w:rPr>
          <w:sz w:val="22"/>
          <w:szCs w:val="22"/>
        </w:rPr>
        <w:t xml:space="preserve"> </w:t>
      </w:r>
      <w:r w:rsidR="003204CE" w:rsidRPr="0029620A">
        <w:rPr>
          <w:sz w:val="22"/>
          <w:szCs w:val="22"/>
        </w:rPr>
        <w:t>la situación actual de este sector radica en que las actividades que llevan a cabo pueden servir de ejemplo para elaborar una estrategia de implementación del GHS, dado que las principales capacidades en temas de gestión de sustancias químicas perten</w:t>
      </w:r>
      <w:r w:rsidR="005F229F" w:rsidRPr="0029620A">
        <w:rPr>
          <w:sz w:val="22"/>
          <w:szCs w:val="22"/>
        </w:rPr>
        <w:t>e</w:t>
      </w:r>
      <w:r w:rsidR="003204CE" w:rsidRPr="0029620A">
        <w:rPr>
          <w:sz w:val="22"/>
          <w:szCs w:val="22"/>
        </w:rPr>
        <w:t>cen a este sector.</w:t>
      </w:r>
    </w:p>
    <w:p w:rsidR="00563249" w:rsidRPr="0029620A" w:rsidRDefault="00563249" w:rsidP="00606EAC">
      <w:pPr>
        <w:jc w:val="both"/>
        <w:rPr>
          <w:sz w:val="22"/>
          <w:szCs w:val="22"/>
        </w:rPr>
      </w:pPr>
      <w:r w:rsidRPr="0029620A">
        <w:rPr>
          <w:sz w:val="22"/>
          <w:szCs w:val="22"/>
        </w:rPr>
        <w:t>En primer lugar, de acuerdo a los últimos datos del Instituto Nacional de Estadísticas, en Chile hay más de 300 empresas en el sector químico</w:t>
      </w:r>
      <w:r w:rsidR="00D1011C" w:rsidRPr="0029620A">
        <w:rPr>
          <w:sz w:val="22"/>
          <w:szCs w:val="22"/>
        </w:rPr>
        <w:t>,</w:t>
      </w:r>
      <w:r w:rsidR="00C57F2E" w:rsidRPr="0029620A">
        <w:rPr>
          <w:sz w:val="22"/>
          <w:szCs w:val="22"/>
        </w:rPr>
        <w:t xml:space="preserve"> de las cuales 125 son socias de la Asociación Gremial de Industriales Químicos de Chile (ASIQUIM) </w:t>
      </w:r>
      <w:r w:rsidR="003F3A0A" w:rsidRPr="0029620A">
        <w:rPr>
          <w:sz w:val="22"/>
          <w:szCs w:val="22"/>
        </w:rPr>
        <w:t xml:space="preserve">y </w:t>
      </w:r>
      <w:r w:rsidR="00C57F2E" w:rsidRPr="0029620A">
        <w:rPr>
          <w:sz w:val="22"/>
          <w:szCs w:val="22"/>
        </w:rPr>
        <w:t xml:space="preserve">que representan cerca del 90% de las ventas totales. A partir de los datos que maneja esta asociación, en lo que concierne a la estructura de la industria química, es posible mencionar que existe en el país una buena mezcla de origen de los capitales y tamaños de la empresa y que a pesar de no contar con un catastro oficial, se podría decir que cerca del 50% </w:t>
      </w:r>
      <w:r w:rsidR="00D1011C" w:rsidRPr="0029620A">
        <w:rPr>
          <w:sz w:val="22"/>
          <w:szCs w:val="22"/>
        </w:rPr>
        <w:t>puede ser</w:t>
      </w:r>
      <w:r w:rsidR="00C57F2E" w:rsidRPr="0029620A">
        <w:rPr>
          <w:sz w:val="22"/>
          <w:szCs w:val="22"/>
        </w:rPr>
        <w:t xml:space="preserve"> catalogado como PYME (ventas bajo las 100.000 UF), mientras que el 55% tendría capitales nacional y el restante 45% serían multinacionales. Dentro de los asociados a ASIQUIM, el 65% corresponde a empresas productoras y el 35% a distribuidores.</w:t>
      </w:r>
    </w:p>
    <w:p w:rsidR="00885365" w:rsidRPr="00885365" w:rsidRDefault="00AC51C4" w:rsidP="00606EAC">
      <w:pPr>
        <w:jc w:val="both"/>
        <w:rPr>
          <w:color w:val="222222"/>
          <w:sz w:val="22"/>
          <w:szCs w:val="22"/>
        </w:rPr>
      </w:pPr>
      <w:r>
        <w:rPr>
          <w:sz w:val="22"/>
          <w:szCs w:val="22"/>
        </w:rPr>
        <w:t>En</w:t>
      </w:r>
      <w:r w:rsidR="0015510E" w:rsidRPr="0029620A">
        <w:rPr>
          <w:sz w:val="22"/>
          <w:szCs w:val="22"/>
        </w:rPr>
        <w:t xml:space="preserve"> cuanto a los conocimientos</w:t>
      </w:r>
      <w:r>
        <w:rPr>
          <w:sz w:val="22"/>
          <w:szCs w:val="22"/>
        </w:rPr>
        <w:t xml:space="preserve"> y capacidades</w:t>
      </w:r>
      <w:r w:rsidR="0015510E" w:rsidRPr="0029620A">
        <w:rPr>
          <w:sz w:val="22"/>
          <w:szCs w:val="22"/>
        </w:rPr>
        <w:t xml:space="preserve"> </w:t>
      </w:r>
      <w:r w:rsidR="002F64F1">
        <w:rPr>
          <w:sz w:val="22"/>
          <w:szCs w:val="22"/>
        </w:rPr>
        <w:t xml:space="preserve">actuales </w:t>
      </w:r>
      <w:r w:rsidR="00C14F4C" w:rsidRPr="0029620A">
        <w:rPr>
          <w:sz w:val="22"/>
          <w:szCs w:val="22"/>
        </w:rPr>
        <w:t xml:space="preserve">sobre </w:t>
      </w:r>
      <w:r w:rsidR="00B86279" w:rsidRPr="0029620A">
        <w:rPr>
          <w:sz w:val="22"/>
          <w:szCs w:val="22"/>
        </w:rPr>
        <w:t>c</w:t>
      </w:r>
      <w:r w:rsidR="00C14F4C" w:rsidRPr="0029620A">
        <w:rPr>
          <w:sz w:val="22"/>
          <w:szCs w:val="22"/>
        </w:rPr>
        <w:t>las</w:t>
      </w:r>
      <w:r w:rsidR="0015510E" w:rsidRPr="0029620A">
        <w:rPr>
          <w:sz w:val="22"/>
          <w:szCs w:val="22"/>
        </w:rPr>
        <w:t>ificación de productos</w:t>
      </w:r>
      <w:r w:rsidR="00397376">
        <w:rPr>
          <w:sz w:val="22"/>
          <w:szCs w:val="22"/>
        </w:rPr>
        <w:t xml:space="preserve"> en este sector</w:t>
      </w:r>
      <w:r w:rsidR="0015510E" w:rsidRPr="0029620A">
        <w:rPr>
          <w:sz w:val="22"/>
          <w:szCs w:val="22"/>
        </w:rPr>
        <w:t>, se podría decir que</w:t>
      </w:r>
      <w:r w:rsidR="002F64F1">
        <w:rPr>
          <w:sz w:val="22"/>
          <w:szCs w:val="22"/>
        </w:rPr>
        <w:t xml:space="preserve"> existe un nivel </w:t>
      </w:r>
      <w:r w:rsidR="00C707D7">
        <w:rPr>
          <w:sz w:val="22"/>
          <w:szCs w:val="22"/>
        </w:rPr>
        <w:t>adecuado</w:t>
      </w:r>
      <w:r w:rsidR="002F64F1">
        <w:rPr>
          <w:sz w:val="22"/>
          <w:szCs w:val="22"/>
        </w:rPr>
        <w:t xml:space="preserve"> en </w:t>
      </w:r>
      <w:r w:rsidR="0087262C" w:rsidRPr="0029620A">
        <w:rPr>
          <w:sz w:val="22"/>
          <w:szCs w:val="22"/>
        </w:rPr>
        <w:t xml:space="preserve">aquellas empresas que deben clasificar, es decir, </w:t>
      </w:r>
      <w:r>
        <w:rPr>
          <w:sz w:val="22"/>
          <w:szCs w:val="22"/>
        </w:rPr>
        <w:t xml:space="preserve">en las </w:t>
      </w:r>
      <w:r w:rsidR="00A6593E" w:rsidRPr="0029620A">
        <w:rPr>
          <w:sz w:val="22"/>
          <w:szCs w:val="22"/>
        </w:rPr>
        <w:t xml:space="preserve">empresas </w:t>
      </w:r>
      <w:r w:rsidR="0087262C" w:rsidRPr="0029620A">
        <w:rPr>
          <w:sz w:val="22"/>
          <w:szCs w:val="22"/>
        </w:rPr>
        <w:t>productoras de sustancias peligrosas</w:t>
      </w:r>
      <w:r>
        <w:rPr>
          <w:sz w:val="22"/>
          <w:szCs w:val="22"/>
        </w:rPr>
        <w:t>,</w:t>
      </w:r>
      <w:r w:rsidR="00C707D7">
        <w:rPr>
          <w:sz w:val="22"/>
          <w:szCs w:val="22"/>
        </w:rPr>
        <w:t xml:space="preserve"> </w:t>
      </w:r>
      <w:r w:rsidR="0087262C" w:rsidRPr="0029620A">
        <w:rPr>
          <w:sz w:val="22"/>
          <w:szCs w:val="22"/>
        </w:rPr>
        <w:t>a lo que se suma una gran fuente de información que está en las multinacionales, que si bien importan productos, estos son producidos con los estándares de la misma empresa que los distribuye en Chile, es decir, son filiales q</w:t>
      </w:r>
      <w:r w:rsidR="00DB0EDC">
        <w:rPr>
          <w:sz w:val="22"/>
          <w:szCs w:val="22"/>
        </w:rPr>
        <w:t>ue distribuyen productos propio</w:t>
      </w:r>
      <w:r w:rsidR="00C707D7">
        <w:rPr>
          <w:sz w:val="22"/>
          <w:szCs w:val="22"/>
        </w:rPr>
        <w:t>s</w:t>
      </w:r>
      <w:r w:rsidR="0087262C" w:rsidRPr="0029620A">
        <w:rPr>
          <w:sz w:val="22"/>
          <w:szCs w:val="22"/>
        </w:rPr>
        <w:t xml:space="preserve">. </w:t>
      </w:r>
      <w:r w:rsidR="002F64F1">
        <w:rPr>
          <w:sz w:val="22"/>
          <w:szCs w:val="22"/>
        </w:rPr>
        <w:t>Esta</w:t>
      </w:r>
      <w:r w:rsidR="00C707D7">
        <w:rPr>
          <w:sz w:val="22"/>
          <w:szCs w:val="22"/>
        </w:rPr>
        <w:t xml:space="preserve"> capacidad de</w:t>
      </w:r>
      <w:r w:rsidR="002F64F1">
        <w:rPr>
          <w:sz w:val="22"/>
          <w:szCs w:val="22"/>
        </w:rPr>
        <w:t xml:space="preserve"> clasificación está enfocada principalmente en temas de peligros físicos para los cuales existe infraestructura nacional </w:t>
      </w:r>
      <w:r w:rsidR="00DB667A">
        <w:rPr>
          <w:sz w:val="22"/>
          <w:szCs w:val="22"/>
        </w:rPr>
        <w:t xml:space="preserve">dado que en </w:t>
      </w:r>
      <w:r w:rsidR="00034D13" w:rsidRPr="0029620A">
        <w:rPr>
          <w:sz w:val="22"/>
          <w:szCs w:val="22"/>
        </w:rPr>
        <w:t xml:space="preserve"> el país </w:t>
      </w:r>
      <w:r w:rsidR="00A94EBD">
        <w:rPr>
          <w:sz w:val="22"/>
          <w:szCs w:val="22"/>
        </w:rPr>
        <w:t>hay</w:t>
      </w:r>
      <w:r w:rsidR="00FA12A6">
        <w:rPr>
          <w:sz w:val="22"/>
          <w:szCs w:val="22"/>
        </w:rPr>
        <w:t xml:space="preserve"> laboratorios privados que efectúan</w:t>
      </w:r>
      <w:r w:rsidR="00220668">
        <w:rPr>
          <w:sz w:val="22"/>
          <w:szCs w:val="22"/>
        </w:rPr>
        <w:t xml:space="preserve"> análisis </w:t>
      </w:r>
      <w:r w:rsidR="00034D13" w:rsidRPr="0029620A">
        <w:rPr>
          <w:sz w:val="22"/>
          <w:szCs w:val="22"/>
        </w:rPr>
        <w:t>físico-químicos a los productos y/o mezc</w:t>
      </w:r>
      <w:r w:rsidR="005F229F" w:rsidRPr="0029620A">
        <w:rPr>
          <w:sz w:val="22"/>
          <w:szCs w:val="22"/>
        </w:rPr>
        <w:t>l</w:t>
      </w:r>
      <w:r w:rsidR="00034D13" w:rsidRPr="0029620A">
        <w:rPr>
          <w:sz w:val="22"/>
          <w:szCs w:val="22"/>
        </w:rPr>
        <w:t>as químicas</w:t>
      </w:r>
      <w:r>
        <w:rPr>
          <w:sz w:val="22"/>
          <w:szCs w:val="22"/>
        </w:rPr>
        <w:t xml:space="preserve"> para </w:t>
      </w:r>
      <w:r w:rsidR="00A94EBD">
        <w:rPr>
          <w:sz w:val="22"/>
          <w:szCs w:val="22"/>
        </w:rPr>
        <w:t xml:space="preserve">su clasificación de acuerdo a la legislación vigente. </w:t>
      </w:r>
      <w:r w:rsidR="00FA12A6">
        <w:rPr>
          <w:sz w:val="22"/>
          <w:szCs w:val="22"/>
        </w:rPr>
        <w:t xml:space="preserve">Ahora bien, debido a que </w:t>
      </w:r>
      <w:r w:rsidR="00071472" w:rsidRPr="0029620A">
        <w:rPr>
          <w:color w:val="222222"/>
          <w:sz w:val="22"/>
          <w:szCs w:val="22"/>
        </w:rPr>
        <w:t>la mayoría de las sustancias químicas que se utilizan en el país son importadas</w:t>
      </w:r>
      <w:r w:rsidR="00885365">
        <w:rPr>
          <w:color w:val="222222"/>
          <w:sz w:val="22"/>
          <w:szCs w:val="22"/>
        </w:rPr>
        <w:t xml:space="preserve"> encontrándose ya</w:t>
      </w:r>
      <w:r w:rsidR="00071472" w:rsidRPr="0029620A">
        <w:rPr>
          <w:color w:val="222222"/>
          <w:sz w:val="22"/>
          <w:szCs w:val="22"/>
        </w:rPr>
        <w:t xml:space="preserve"> clasificadas</w:t>
      </w:r>
      <w:r w:rsidR="00FA12A6">
        <w:rPr>
          <w:color w:val="222222"/>
          <w:sz w:val="22"/>
          <w:szCs w:val="22"/>
        </w:rPr>
        <w:t xml:space="preserve"> y</w:t>
      </w:r>
      <w:r w:rsidR="00885365">
        <w:rPr>
          <w:color w:val="222222"/>
          <w:sz w:val="22"/>
          <w:szCs w:val="22"/>
        </w:rPr>
        <w:t xml:space="preserve"> disponible esta información</w:t>
      </w:r>
      <w:r w:rsidR="00FA12A6">
        <w:rPr>
          <w:color w:val="222222"/>
          <w:sz w:val="22"/>
          <w:szCs w:val="22"/>
        </w:rPr>
        <w:t xml:space="preserve"> en bases de datos internacionales, existe una baja demanda por contar con mayor capacidad anal</w:t>
      </w:r>
      <w:r w:rsidR="00885365">
        <w:rPr>
          <w:color w:val="222222"/>
          <w:sz w:val="22"/>
          <w:szCs w:val="22"/>
        </w:rPr>
        <w:t xml:space="preserve">ítica en la actualidad, situación que se refuerza en el caso </w:t>
      </w:r>
      <w:r w:rsidR="00071472" w:rsidRPr="0029620A">
        <w:rPr>
          <w:color w:val="222222"/>
          <w:sz w:val="22"/>
          <w:szCs w:val="22"/>
        </w:rPr>
        <w:t>de sustancias producidas</w:t>
      </w:r>
      <w:r w:rsidR="00AF3BFE" w:rsidRPr="0029620A">
        <w:rPr>
          <w:color w:val="222222"/>
          <w:sz w:val="22"/>
          <w:szCs w:val="22"/>
        </w:rPr>
        <w:t xml:space="preserve"> en el país</w:t>
      </w:r>
      <w:r w:rsidR="00071472" w:rsidRPr="0029620A">
        <w:rPr>
          <w:color w:val="222222"/>
          <w:sz w:val="22"/>
          <w:szCs w:val="22"/>
        </w:rPr>
        <w:t>,</w:t>
      </w:r>
      <w:r w:rsidR="00885365">
        <w:rPr>
          <w:color w:val="222222"/>
          <w:sz w:val="22"/>
          <w:szCs w:val="22"/>
        </w:rPr>
        <w:t xml:space="preserve"> en particular sustancias puras, donde en algunos casos resulta más factible</w:t>
      </w:r>
      <w:r w:rsidR="00885365" w:rsidRPr="00885365">
        <w:rPr>
          <w:color w:val="222222"/>
          <w:sz w:val="22"/>
          <w:szCs w:val="22"/>
        </w:rPr>
        <w:t xml:space="preserve"> </w:t>
      </w:r>
      <w:r w:rsidR="00885365" w:rsidRPr="0029620A">
        <w:rPr>
          <w:color w:val="222222"/>
          <w:sz w:val="22"/>
          <w:szCs w:val="22"/>
        </w:rPr>
        <w:t>realizar</w:t>
      </w:r>
      <w:r w:rsidR="00885365">
        <w:rPr>
          <w:color w:val="222222"/>
          <w:sz w:val="22"/>
          <w:szCs w:val="22"/>
        </w:rPr>
        <w:t xml:space="preserve"> </w:t>
      </w:r>
      <w:r w:rsidR="00885365" w:rsidRPr="0029620A">
        <w:rPr>
          <w:color w:val="222222"/>
          <w:sz w:val="22"/>
          <w:szCs w:val="22"/>
        </w:rPr>
        <w:t>la</w:t>
      </w:r>
      <w:r w:rsidR="00885365">
        <w:rPr>
          <w:color w:val="222222"/>
          <w:sz w:val="22"/>
          <w:szCs w:val="22"/>
        </w:rPr>
        <w:t xml:space="preserve"> clasificación</w:t>
      </w:r>
      <w:r w:rsidR="00885365" w:rsidRPr="0029620A">
        <w:rPr>
          <w:color w:val="222222"/>
          <w:sz w:val="22"/>
          <w:szCs w:val="22"/>
        </w:rPr>
        <w:t xml:space="preserve"> en laboratorios externos</w:t>
      </w:r>
      <w:r w:rsidR="00885365">
        <w:rPr>
          <w:color w:val="222222"/>
          <w:sz w:val="22"/>
          <w:szCs w:val="22"/>
        </w:rPr>
        <w:t xml:space="preserve"> certificados.</w:t>
      </w:r>
      <w:r w:rsidR="0023045D">
        <w:rPr>
          <w:color w:val="222222"/>
          <w:sz w:val="22"/>
          <w:szCs w:val="22"/>
        </w:rPr>
        <w:t xml:space="preserve"> </w:t>
      </w:r>
      <w:r w:rsidR="00885365">
        <w:rPr>
          <w:color w:val="222222"/>
          <w:sz w:val="22"/>
          <w:szCs w:val="22"/>
        </w:rPr>
        <w:t>En el caso de análisis en temas de toxicidad a la salud humana y ecotoxicidad, existe poca capacidad técnica instalada en el país, dado que es casi nula la demanda actual por este tipo de pruebas.</w:t>
      </w:r>
    </w:p>
    <w:p w:rsidR="00AC51C4" w:rsidRPr="0023045D" w:rsidRDefault="00AC51C4" w:rsidP="007E5DD6">
      <w:pPr>
        <w:jc w:val="both"/>
        <w:rPr>
          <w:color w:val="222222"/>
          <w:sz w:val="22"/>
          <w:szCs w:val="22"/>
        </w:rPr>
      </w:pPr>
      <w:r>
        <w:rPr>
          <w:color w:val="222222"/>
          <w:sz w:val="22"/>
          <w:szCs w:val="22"/>
        </w:rPr>
        <w:t>Por otra parte, en</w:t>
      </w:r>
      <w:r w:rsidR="00200984" w:rsidRPr="0029620A">
        <w:rPr>
          <w:sz w:val="22"/>
          <w:szCs w:val="22"/>
        </w:rPr>
        <w:t xml:space="preserve"> el tema de </w:t>
      </w:r>
      <w:r w:rsidR="00490596" w:rsidRPr="0029620A">
        <w:rPr>
          <w:sz w:val="22"/>
          <w:szCs w:val="22"/>
        </w:rPr>
        <w:t xml:space="preserve">capacidades sobre </w:t>
      </w:r>
      <w:r w:rsidR="00200984" w:rsidRPr="0029620A">
        <w:rPr>
          <w:sz w:val="22"/>
          <w:szCs w:val="22"/>
        </w:rPr>
        <w:t xml:space="preserve">HDS y etiquetado, existe </w:t>
      </w:r>
      <w:r w:rsidR="0023045D">
        <w:rPr>
          <w:sz w:val="22"/>
          <w:szCs w:val="22"/>
        </w:rPr>
        <w:t>un nivel más alto de capacidad en relación a la clasificación e</w:t>
      </w:r>
      <w:r w:rsidR="00490596" w:rsidRPr="0029620A">
        <w:rPr>
          <w:sz w:val="22"/>
          <w:szCs w:val="22"/>
        </w:rPr>
        <w:t>n el grupo de</w:t>
      </w:r>
      <w:r w:rsidR="00200984" w:rsidRPr="0029620A">
        <w:rPr>
          <w:sz w:val="22"/>
          <w:szCs w:val="22"/>
        </w:rPr>
        <w:t xml:space="preserve"> productores de sustancias peligrosas y mezclas</w:t>
      </w:r>
      <w:r w:rsidR="00490596" w:rsidRPr="0029620A">
        <w:rPr>
          <w:sz w:val="22"/>
          <w:szCs w:val="22"/>
        </w:rPr>
        <w:t xml:space="preserve">, ya </w:t>
      </w:r>
      <w:r w:rsidR="0029620A" w:rsidRPr="0029620A">
        <w:rPr>
          <w:sz w:val="22"/>
          <w:szCs w:val="22"/>
        </w:rPr>
        <w:t xml:space="preserve">que </w:t>
      </w:r>
      <w:r w:rsidR="00490596" w:rsidRPr="0029620A">
        <w:rPr>
          <w:sz w:val="22"/>
          <w:szCs w:val="22"/>
        </w:rPr>
        <w:t>son ellos quienes</w:t>
      </w:r>
      <w:r w:rsidR="00200984" w:rsidRPr="0029620A">
        <w:rPr>
          <w:sz w:val="22"/>
          <w:szCs w:val="22"/>
        </w:rPr>
        <w:t xml:space="preserve"> deben preparar sus propias HDS y etiquetas usando los formatos establecidos por Ley o por el mercado</w:t>
      </w:r>
      <w:r w:rsidR="00686A3B" w:rsidRPr="0029620A">
        <w:rPr>
          <w:sz w:val="22"/>
          <w:szCs w:val="22"/>
        </w:rPr>
        <w:t>.</w:t>
      </w:r>
      <w:r w:rsidR="007E5DD6">
        <w:rPr>
          <w:sz w:val="22"/>
          <w:szCs w:val="22"/>
        </w:rPr>
        <w:t xml:space="preserve"> E</w:t>
      </w:r>
      <w:r w:rsidR="00686A3B" w:rsidRPr="0029620A">
        <w:rPr>
          <w:sz w:val="22"/>
          <w:szCs w:val="22"/>
        </w:rPr>
        <w:t>ste ámbito está ampliamente regulado en el país, a través de normas chilenas que establecen los contenidos de las hojas de seguridad y caract</w:t>
      </w:r>
      <w:r w:rsidR="0029620A" w:rsidRPr="0029620A">
        <w:rPr>
          <w:sz w:val="22"/>
          <w:szCs w:val="22"/>
        </w:rPr>
        <w:t>erísticas del etiquetado según peligros</w:t>
      </w:r>
      <w:r w:rsidR="007E5DD6">
        <w:rPr>
          <w:sz w:val="22"/>
          <w:szCs w:val="22"/>
        </w:rPr>
        <w:t>,</w:t>
      </w:r>
      <w:r w:rsidR="00686A3B" w:rsidRPr="0029620A">
        <w:rPr>
          <w:sz w:val="22"/>
          <w:szCs w:val="22"/>
        </w:rPr>
        <w:t xml:space="preserve"> </w:t>
      </w:r>
      <w:r w:rsidR="007E5DD6" w:rsidRPr="00397376">
        <w:rPr>
          <w:sz w:val="22"/>
          <w:szCs w:val="22"/>
        </w:rPr>
        <w:t xml:space="preserve">por ejemplo, </w:t>
      </w:r>
      <w:r w:rsidR="007E5DD6">
        <w:rPr>
          <w:sz w:val="22"/>
          <w:szCs w:val="22"/>
        </w:rPr>
        <w:t xml:space="preserve"> la </w:t>
      </w:r>
      <w:r w:rsidR="007E5DD6" w:rsidRPr="00397376">
        <w:rPr>
          <w:rFonts w:cs="LucidaSansUnicode"/>
          <w:kern w:val="0"/>
          <w:sz w:val="22"/>
          <w:szCs w:val="22"/>
          <w:lang w:val="es-CL"/>
        </w:rPr>
        <w:t>NCh 2120/1-9,</w:t>
      </w:r>
      <w:r w:rsidR="007E5DD6" w:rsidRPr="00397376">
        <w:rPr>
          <w:rFonts w:cs="LucidaSansUnicode"/>
          <w:kern w:val="0"/>
          <w:sz w:val="22"/>
          <w:szCs w:val="22"/>
        </w:rPr>
        <w:t xml:space="preserve"> </w:t>
      </w:r>
      <w:r w:rsidR="007E5DD6" w:rsidRPr="00397376">
        <w:rPr>
          <w:rFonts w:cs="LucidaSansUnicode"/>
          <w:kern w:val="0"/>
          <w:sz w:val="22"/>
          <w:szCs w:val="22"/>
          <w:lang w:val="es-CL"/>
        </w:rPr>
        <w:t>NCh 382,</w:t>
      </w:r>
      <w:r w:rsidR="007E5DD6" w:rsidRPr="00397376">
        <w:rPr>
          <w:rFonts w:cs="LucidaSansUnicode"/>
          <w:kern w:val="0"/>
          <w:sz w:val="22"/>
          <w:szCs w:val="22"/>
        </w:rPr>
        <w:t xml:space="preserve"> </w:t>
      </w:r>
      <w:r w:rsidR="007E5DD6" w:rsidRPr="00397376">
        <w:rPr>
          <w:rFonts w:cs="LucidaSansUnicode"/>
          <w:kern w:val="0"/>
          <w:sz w:val="22"/>
          <w:szCs w:val="22"/>
          <w:lang w:val="es-CL"/>
        </w:rPr>
        <w:t>NCh 2245</w:t>
      </w:r>
      <w:r w:rsidR="007E5DD6">
        <w:rPr>
          <w:rFonts w:cs="LucidaSansUnicode"/>
          <w:kern w:val="0"/>
          <w:sz w:val="22"/>
          <w:szCs w:val="22"/>
        </w:rPr>
        <w:t xml:space="preserve"> y</w:t>
      </w:r>
      <w:r w:rsidR="007E5DD6" w:rsidRPr="00397376">
        <w:rPr>
          <w:rFonts w:cs="LucidaSansUnicode"/>
          <w:kern w:val="0"/>
          <w:sz w:val="22"/>
          <w:szCs w:val="22"/>
        </w:rPr>
        <w:t xml:space="preserve"> </w:t>
      </w:r>
      <w:r w:rsidR="007E5DD6">
        <w:rPr>
          <w:rFonts w:cs="LucidaSansUnicode"/>
          <w:kern w:val="0"/>
          <w:sz w:val="22"/>
          <w:szCs w:val="22"/>
          <w:lang w:val="es-CL"/>
        </w:rPr>
        <w:t>NCh 2190</w:t>
      </w:r>
      <w:r w:rsidR="007E5DD6">
        <w:rPr>
          <w:rFonts w:cs="LucidaSansUnicode"/>
          <w:kern w:val="0"/>
          <w:sz w:val="22"/>
          <w:szCs w:val="22"/>
        </w:rPr>
        <w:t xml:space="preserve">. </w:t>
      </w:r>
      <w:r w:rsidR="00686A3B" w:rsidRPr="0029620A">
        <w:rPr>
          <w:sz w:val="22"/>
          <w:szCs w:val="22"/>
        </w:rPr>
        <w:t>En</w:t>
      </w:r>
      <w:r w:rsidR="00490596" w:rsidRPr="0029620A">
        <w:rPr>
          <w:sz w:val="22"/>
          <w:szCs w:val="22"/>
        </w:rPr>
        <w:t xml:space="preserve"> el caso de productos</w:t>
      </w:r>
      <w:r w:rsidR="00200984" w:rsidRPr="0029620A">
        <w:rPr>
          <w:sz w:val="22"/>
          <w:szCs w:val="22"/>
        </w:rPr>
        <w:t xml:space="preserve"> importados, el etiquetado se hace en el país de origen y se envían las HDS incluso traducidas al español</w:t>
      </w:r>
      <w:r>
        <w:rPr>
          <w:sz w:val="22"/>
          <w:szCs w:val="22"/>
        </w:rPr>
        <w:t>.</w:t>
      </w:r>
      <w:r w:rsidR="0023045D">
        <w:rPr>
          <w:sz w:val="22"/>
          <w:szCs w:val="22"/>
        </w:rPr>
        <w:t xml:space="preserve"> </w:t>
      </w:r>
      <w:r>
        <w:rPr>
          <w:sz w:val="22"/>
          <w:szCs w:val="22"/>
        </w:rPr>
        <w:t>Por ejemplo, e</w:t>
      </w:r>
      <w:r w:rsidRPr="0029620A">
        <w:rPr>
          <w:sz w:val="22"/>
          <w:szCs w:val="22"/>
        </w:rPr>
        <w:t xml:space="preserve">n el sector Agricultura, </w:t>
      </w:r>
      <w:r w:rsidR="007E5DD6">
        <w:rPr>
          <w:sz w:val="22"/>
          <w:szCs w:val="22"/>
        </w:rPr>
        <w:t xml:space="preserve">los ingredientes activos son importados al país por lo que ya entran con información sobre clasificación y etiquetado, la cual se </w:t>
      </w:r>
      <w:r w:rsidRPr="0029620A">
        <w:rPr>
          <w:sz w:val="22"/>
          <w:szCs w:val="22"/>
        </w:rPr>
        <w:t xml:space="preserve"> realiza según las recomendaciones del Código de Conducta de la FAO (</w:t>
      </w:r>
      <w:r w:rsidRPr="0029620A">
        <w:rPr>
          <w:rFonts w:cs="LucidaSansUnicode"/>
          <w:kern w:val="0"/>
          <w:sz w:val="22"/>
          <w:szCs w:val="22"/>
          <w:lang w:val="es-ES"/>
        </w:rPr>
        <w:t>Organización de las Naciones Unidas para la Alimentación y la Agricultura</w:t>
      </w:r>
      <w:r w:rsidRPr="00397376">
        <w:rPr>
          <w:rFonts w:cs="LucidaSansUnicode"/>
          <w:kern w:val="0"/>
          <w:sz w:val="22"/>
          <w:szCs w:val="22"/>
          <w:lang w:val="es-ES"/>
        </w:rPr>
        <w:t>)</w:t>
      </w:r>
      <w:r w:rsidR="007E5DD6">
        <w:rPr>
          <w:rFonts w:cs="LucidaSansUnicode"/>
          <w:kern w:val="0"/>
          <w:sz w:val="22"/>
          <w:szCs w:val="22"/>
        </w:rPr>
        <w:t>. En el caso de los plaguicidas formulados en el país, existe</w:t>
      </w:r>
      <w:r w:rsidRPr="00397376">
        <w:rPr>
          <w:rFonts w:cs="LucidaSansUnicode"/>
          <w:kern w:val="0"/>
          <w:sz w:val="22"/>
          <w:szCs w:val="22"/>
          <w:lang w:val="es-ES"/>
        </w:rPr>
        <w:t xml:space="preserve"> una </w:t>
      </w:r>
      <w:r w:rsidR="003163A6">
        <w:rPr>
          <w:rFonts w:cs="LucidaSansUnicode"/>
          <w:kern w:val="0"/>
          <w:sz w:val="22"/>
          <w:szCs w:val="22"/>
        </w:rPr>
        <w:t>cap</w:t>
      </w:r>
      <w:r w:rsidR="009258C4">
        <w:rPr>
          <w:rFonts w:cs="LucidaSansUnicode"/>
          <w:kern w:val="0"/>
          <w:sz w:val="22"/>
          <w:szCs w:val="22"/>
        </w:rPr>
        <w:t>a</w:t>
      </w:r>
      <w:r w:rsidR="003163A6">
        <w:rPr>
          <w:rFonts w:cs="LucidaSansUnicode"/>
          <w:kern w:val="0"/>
          <w:sz w:val="22"/>
          <w:szCs w:val="22"/>
        </w:rPr>
        <w:t>cidad</w:t>
      </w:r>
      <w:r w:rsidRPr="00397376">
        <w:rPr>
          <w:rFonts w:cs="LucidaSansUnicode"/>
          <w:kern w:val="0"/>
          <w:sz w:val="22"/>
          <w:szCs w:val="22"/>
          <w:lang w:val="es-ES"/>
        </w:rPr>
        <w:t xml:space="preserve"> técnica </w:t>
      </w:r>
      <w:r w:rsidR="0023045D">
        <w:rPr>
          <w:rFonts w:cs="LucidaSansUnicode"/>
          <w:kern w:val="0"/>
          <w:sz w:val="22"/>
          <w:szCs w:val="22"/>
        </w:rPr>
        <w:t>limitada</w:t>
      </w:r>
      <w:r w:rsidRPr="00397376">
        <w:rPr>
          <w:rFonts w:cs="LucidaSansUnicode"/>
          <w:kern w:val="0"/>
          <w:sz w:val="22"/>
          <w:szCs w:val="22"/>
          <w:lang w:val="es-ES"/>
        </w:rPr>
        <w:t xml:space="preserve"> para llevar a cabo los análisis </w:t>
      </w:r>
      <w:r w:rsidR="0023045D">
        <w:rPr>
          <w:rFonts w:cs="LucidaSansUnicode"/>
          <w:kern w:val="0"/>
          <w:sz w:val="22"/>
          <w:szCs w:val="22"/>
        </w:rPr>
        <w:t xml:space="preserve">de toxicidad </w:t>
      </w:r>
      <w:r w:rsidRPr="00397376">
        <w:rPr>
          <w:rFonts w:cs="LucidaSansUnicode"/>
          <w:kern w:val="0"/>
          <w:sz w:val="22"/>
          <w:szCs w:val="22"/>
          <w:lang w:val="es-ES"/>
        </w:rPr>
        <w:t>correspondientes</w:t>
      </w:r>
      <w:r w:rsidR="007E5DD6">
        <w:rPr>
          <w:rFonts w:cs="LucidaSansUnicode"/>
          <w:kern w:val="0"/>
          <w:sz w:val="22"/>
          <w:szCs w:val="22"/>
        </w:rPr>
        <w:t xml:space="preserve"> para clasificar</w:t>
      </w:r>
      <w:r w:rsidRPr="0029620A">
        <w:rPr>
          <w:rFonts w:cs="LucidaSansUnicode"/>
          <w:kern w:val="0"/>
          <w:sz w:val="22"/>
          <w:szCs w:val="22"/>
          <w:lang w:val="es-ES"/>
        </w:rPr>
        <w:t xml:space="preserve">. </w:t>
      </w:r>
    </w:p>
    <w:p w:rsidR="00114D9E" w:rsidRPr="00F44F96" w:rsidRDefault="00643F57" w:rsidP="00606EAC">
      <w:pPr>
        <w:jc w:val="both"/>
        <w:rPr>
          <w:sz w:val="22"/>
          <w:szCs w:val="22"/>
        </w:rPr>
      </w:pPr>
      <w:r>
        <w:rPr>
          <w:sz w:val="22"/>
          <w:szCs w:val="22"/>
        </w:rPr>
        <w:t xml:space="preserve">En el tema de </w:t>
      </w:r>
      <w:r w:rsidR="006508E9" w:rsidRPr="0071419A">
        <w:rPr>
          <w:sz w:val="22"/>
          <w:szCs w:val="22"/>
        </w:rPr>
        <w:t>progra</w:t>
      </w:r>
      <w:r w:rsidR="00A16881" w:rsidRPr="0071419A">
        <w:rPr>
          <w:sz w:val="22"/>
          <w:szCs w:val="22"/>
        </w:rPr>
        <w:t>mas de capacitación y/o concienci</w:t>
      </w:r>
      <w:r w:rsidR="006508E9" w:rsidRPr="0071419A">
        <w:rPr>
          <w:sz w:val="22"/>
          <w:szCs w:val="22"/>
        </w:rPr>
        <w:t>ación sobre la comunicación de peligros, esta tarea radica</w:t>
      </w:r>
      <w:r w:rsidR="00E47CF7">
        <w:rPr>
          <w:sz w:val="22"/>
          <w:szCs w:val="22"/>
        </w:rPr>
        <w:t xml:space="preserve"> mayormente</w:t>
      </w:r>
      <w:r w:rsidR="006508E9" w:rsidRPr="0071419A">
        <w:rPr>
          <w:sz w:val="22"/>
          <w:szCs w:val="22"/>
        </w:rPr>
        <w:t xml:space="preserve"> en cada empresa que produce, distribuye y/o usa sustancias químicas pues es la que tiene el conocimiento articular de los riesgos al que están sometidos diversos actores. Los programas de capacitación de peligros son en general en una primera lectura, exigidos por ley si el público objetivo son</w:t>
      </w:r>
      <w:r w:rsidR="00A200ED" w:rsidRPr="0071419A">
        <w:rPr>
          <w:sz w:val="22"/>
          <w:szCs w:val="22"/>
        </w:rPr>
        <w:t xml:space="preserve"> los empleados o colaboradores,</w:t>
      </w:r>
      <w:r w:rsidR="006508E9" w:rsidRPr="0071419A">
        <w:rPr>
          <w:sz w:val="22"/>
          <w:szCs w:val="22"/>
        </w:rPr>
        <w:t xml:space="preserve"> con recursos propios de cada empresa y normalmente radican en el conocimiento de expertos en Prevención de riesgo que dictan charlas dentro de ellas.</w:t>
      </w:r>
      <w:r w:rsidR="00F44F96">
        <w:rPr>
          <w:sz w:val="22"/>
          <w:szCs w:val="22"/>
        </w:rPr>
        <w:t xml:space="preserve"> </w:t>
      </w:r>
    </w:p>
    <w:p w:rsidR="002E1C34" w:rsidRPr="00F44F96" w:rsidRDefault="00F44F96" w:rsidP="00606EAC">
      <w:pPr>
        <w:jc w:val="both"/>
        <w:rPr>
          <w:sz w:val="22"/>
          <w:szCs w:val="22"/>
        </w:rPr>
      </w:pPr>
      <w:r>
        <w:rPr>
          <w:sz w:val="22"/>
          <w:szCs w:val="22"/>
        </w:rPr>
        <w:t xml:space="preserve">Sin embargo, </w:t>
      </w:r>
      <w:r w:rsidRPr="0071419A">
        <w:rPr>
          <w:sz w:val="22"/>
          <w:szCs w:val="22"/>
        </w:rPr>
        <w:t>también</w:t>
      </w:r>
      <w:r w:rsidR="002E1C34" w:rsidRPr="0071419A">
        <w:rPr>
          <w:sz w:val="22"/>
          <w:szCs w:val="22"/>
        </w:rPr>
        <w:t xml:space="preserve"> existen otro tipo de iniciativas</w:t>
      </w:r>
      <w:r>
        <w:rPr>
          <w:sz w:val="22"/>
          <w:szCs w:val="22"/>
        </w:rPr>
        <w:t xml:space="preserve"> destinadas a informar y capacitar a los trabajadores sobre los riesgos asociados a la gestión de sustancias químicas. Por</w:t>
      </w:r>
      <w:r w:rsidR="00B55DD7" w:rsidRPr="0071419A">
        <w:rPr>
          <w:sz w:val="22"/>
          <w:szCs w:val="22"/>
        </w:rPr>
        <w:t xml:space="preserve"> ejemplo, el sistema de Gestión d</w:t>
      </w:r>
      <w:r>
        <w:rPr>
          <w:sz w:val="22"/>
          <w:szCs w:val="22"/>
        </w:rPr>
        <w:t>e Conducta Responsable</w:t>
      </w:r>
      <w:r w:rsidR="00B55DD7" w:rsidRPr="0071419A">
        <w:rPr>
          <w:sz w:val="22"/>
          <w:szCs w:val="22"/>
        </w:rPr>
        <w:t xml:space="preserve"> es un programa voluntario en el cual las empresas se obligan a realizar esfuerzos permanentes para perfeccionar los procesos de producción, manejo, distribución, uso y disposición de sus productos y donde se incluyen prácticas de comunicación de riesgos</w:t>
      </w:r>
      <w:r w:rsidR="00306B5B" w:rsidRPr="0071419A">
        <w:rPr>
          <w:sz w:val="22"/>
          <w:szCs w:val="22"/>
        </w:rPr>
        <w:t>.</w:t>
      </w:r>
      <w:r>
        <w:rPr>
          <w:sz w:val="22"/>
          <w:szCs w:val="22"/>
        </w:rPr>
        <w:t xml:space="preserve"> Algunas actividades contempladas incluyen Talleres de Seguridad en los procesos, dirigidos a empresas donde se desarrollan temas relativos a la normativa aplicable en seguridad industrial, Talleres de Involucramiento con la Comunidad  con el fin de implementar prácticas y procedimientos que respalden una comunicación consistente y permanente con las comunidades, entre otras.</w:t>
      </w:r>
    </w:p>
    <w:p w:rsidR="0092566A" w:rsidRPr="00F44F96" w:rsidRDefault="00A200ED" w:rsidP="00606EAC">
      <w:pPr>
        <w:jc w:val="both"/>
        <w:rPr>
          <w:sz w:val="22"/>
          <w:szCs w:val="22"/>
        </w:rPr>
      </w:pPr>
      <w:r w:rsidRPr="0071419A">
        <w:rPr>
          <w:sz w:val="22"/>
          <w:szCs w:val="22"/>
        </w:rPr>
        <w:t>Un ejemplo de</w:t>
      </w:r>
      <w:r w:rsidR="00F44F96">
        <w:rPr>
          <w:sz w:val="22"/>
          <w:szCs w:val="22"/>
        </w:rPr>
        <w:t xml:space="preserve"> estas iniciativas en el sector</w:t>
      </w:r>
      <w:r w:rsidRPr="0071419A">
        <w:rPr>
          <w:sz w:val="22"/>
          <w:szCs w:val="22"/>
        </w:rPr>
        <w:t xml:space="preserve"> industria</w:t>
      </w:r>
      <w:r w:rsidR="0092566A" w:rsidRPr="0071419A">
        <w:rPr>
          <w:sz w:val="22"/>
          <w:szCs w:val="22"/>
        </w:rPr>
        <w:t xml:space="preserve"> lo constituye e</w:t>
      </w:r>
      <w:r w:rsidR="00486DD9" w:rsidRPr="0071419A">
        <w:rPr>
          <w:sz w:val="22"/>
          <w:szCs w:val="22"/>
        </w:rPr>
        <w:t>l sector de plaguicidas, donde</w:t>
      </w:r>
      <w:r w:rsidR="0092566A" w:rsidRPr="0071419A">
        <w:rPr>
          <w:sz w:val="22"/>
          <w:szCs w:val="22"/>
        </w:rPr>
        <w:t xml:space="preserve"> actividades de capacitación de sus trabajadores son parte de las acciones plasmadas en el Acuerdo d</w:t>
      </w:r>
      <w:r w:rsidR="00486DD9" w:rsidRPr="0071419A">
        <w:rPr>
          <w:sz w:val="22"/>
          <w:szCs w:val="22"/>
        </w:rPr>
        <w:t xml:space="preserve">e Producción Limpia del sector y, </w:t>
      </w:r>
      <w:r w:rsidR="00752362" w:rsidRPr="0071419A">
        <w:rPr>
          <w:sz w:val="22"/>
          <w:szCs w:val="22"/>
        </w:rPr>
        <w:t>según</w:t>
      </w:r>
      <w:r w:rsidR="0092566A" w:rsidRPr="0071419A">
        <w:rPr>
          <w:sz w:val="22"/>
          <w:szCs w:val="22"/>
        </w:rPr>
        <w:t xml:space="preserve"> el reporte entregado el año 2012</w:t>
      </w:r>
      <w:r w:rsidR="00752362" w:rsidRPr="0071419A">
        <w:rPr>
          <w:sz w:val="22"/>
          <w:szCs w:val="22"/>
        </w:rPr>
        <w:t xml:space="preserve">, </w:t>
      </w:r>
      <w:r w:rsidRPr="0071419A">
        <w:rPr>
          <w:sz w:val="22"/>
          <w:szCs w:val="22"/>
        </w:rPr>
        <w:t xml:space="preserve">en los últimos años </w:t>
      </w:r>
      <w:r w:rsidR="00752362" w:rsidRPr="0071419A">
        <w:rPr>
          <w:sz w:val="22"/>
          <w:szCs w:val="22"/>
        </w:rPr>
        <w:t>se han realizado inve</w:t>
      </w:r>
      <w:r w:rsidR="001F020C" w:rsidRPr="0071419A">
        <w:rPr>
          <w:sz w:val="22"/>
          <w:szCs w:val="22"/>
        </w:rPr>
        <w:t xml:space="preserve">rsiones con el fin de capacitarlos </w:t>
      </w:r>
      <w:r w:rsidR="00752362" w:rsidRPr="0071419A">
        <w:rPr>
          <w:sz w:val="22"/>
          <w:szCs w:val="22"/>
        </w:rPr>
        <w:t>en temas como Manejo de plaguicidas, Uso de elementos de protección personal, Transporte de sustancias peligrosas, entre otros, existiendo recursos permanentes y capacidades para la formación y entrenamiento de los trabajadores.</w:t>
      </w:r>
      <w:r w:rsidR="00140CBC" w:rsidRPr="0071419A">
        <w:rPr>
          <w:sz w:val="22"/>
          <w:szCs w:val="22"/>
        </w:rPr>
        <w:t xml:space="preserve"> El programa de capacitación de AFIPA sobre manejo de productos fitosanitarios prioriza la capacitaci</w:t>
      </w:r>
      <w:r w:rsidR="0071419A">
        <w:rPr>
          <w:sz w:val="22"/>
          <w:szCs w:val="22"/>
        </w:rPr>
        <w:t>ón en Etiquetado conforme a la R</w:t>
      </w:r>
      <w:r w:rsidR="00140CBC" w:rsidRPr="0071419A">
        <w:rPr>
          <w:sz w:val="22"/>
          <w:szCs w:val="22"/>
        </w:rPr>
        <w:t>esolución 2195 del SAG para dar cumplimiento a las Buenas Prácticas Agrícolas establecidas y a la correspondiente certificación por parte de agencias validadas en los mercados de destino para la comercialización del producto</w:t>
      </w:r>
      <w:r w:rsidR="0071419A" w:rsidRPr="0071419A">
        <w:rPr>
          <w:sz w:val="22"/>
          <w:szCs w:val="22"/>
        </w:rPr>
        <w:t>.</w:t>
      </w:r>
    </w:p>
    <w:p w:rsidR="00487747" w:rsidRPr="003E53D8" w:rsidRDefault="00B55DD7" w:rsidP="00606EAC">
      <w:pPr>
        <w:jc w:val="both"/>
        <w:rPr>
          <w:sz w:val="22"/>
          <w:szCs w:val="22"/>
        </w:rPr>
      </w:pPr>
      <w:r w:rsidRPr="0071419A">
        <w:rPr>
          <w:sz w:val="22"/>
          <w:szCs w:val="22"/>
        </w:rPr>
        <w:t>En forma general, se p</w:t>
      </w:r>
      <w:r w:rsidR="00752362" w:rsidRPr="0071419A">
        <w:rPr>
          <w:sz w:val="22"/>
          <w:szCs w:val="22"/>
        </w:rPr>
        <w:t>uede</w:t>
      </w:r>
      <w:r w:rsidRPr="0071419A">
        <w:rPr>
          <w:sz w:val="22"/>
          <w:szCs w:val="22"/>
        </w:rPr>
        <w:t xml:space="preserve"> decir que e</w:t>
      </w:r>
      <w:r w:rsidR="00752362" w:rsidRPr="0071419A">
        <w:rPr>
          <w:sz w:val="22"/>
          <w:szCs w:val="22"/>
        </w:rPr>
        <w:t>l sector industria</w:t>
      </w:r>
      <w:r w:rsidR="0029620A" w:rsidRPr="0071419A">
        <w:rPr>
          <w:sz w:val="22"/>
          <w:szCs w:val="22"/>
        </w:rPr>
        <w:t>l</w:t>
      </w:r>
      <w:r w:rsidR="00752362" w:rsidRPr="0071419A">
        <w:rPr>
          <w:sz w:val="22"/>
          <w:szCs w:val="22"/>
        </w:rPr>
        <w:t xml:space="preserve"> posee amplio</w:t>
      </w:r>
      <w:r w:rsidRPr="0071419A">
        <w:rPr>
          <w:sz w:val="22"/>
          <w:szCs w:val="22"/>
        </w:rPr>
        <w:t xml:space="preserve"> conocimiento principalmente en los temas de hojas de seguridad y etiquetado y que, además, poseen dentro de sus planes de trabajo, actividades relacionadas con la capacitación de su personal y lo</w:t>
      </w:r>
      <w:r w:rsidR="00306B5B" w:rsidRPr="0071419A">
        <w:rPr>
          <w:sz w:val="22"/>
          <w:szCs w:val="22"/>
        </w:rPr>
        <w:t>s recursos destinados para ello</w:t>
      </w:r>
      <w:r w:rsidR="00752362" w:rsidRPr="0071419A">
        <w:rPr>
          <w:sz w:val="22"/>
          <w:szCs w:val="22"/>
        </w:rPr>
        <w:t xml:space="preserve">, ya sea de forma individual o como </w:t>
      </w:r>
      <w:r w:rsidR="00A200ED" w:rsidRPr="0071419A">
        <w:rPr>
          <w:sz w:val="22"/>
          <w:szCs w:val="22"/>
        </w:rPr>
        <w:t xml:space="preserve">parte de una </w:t>
      </w:r>
      <w:r w:rsidR="00A200ED" w:rsidRPr="003E53D8">
        <w:rPr>
          <w:sz w:val="22"/>
          <w:szCs w:val="22"/>
        </w:rPr>
        <w:t xml:space="preserve">asociación como </w:t>
      </w:r>
      <w:r w:rsidR="00752362" w:rsidRPr="003E53D8">
        <w:rPr>
          <w:sz w:val="22"/>
          <w:szCs w:val="22"/>
        </w:rPr>
        <w:t>ASIQUIM.</w:t>
      </w:r>
      <w:r w:rsidR="001B4743" w:rsidRPr="003E53D8">
        <w:rPr>
          <w:sz w:val="22"/>
          <w:szCs w:val="22"/>
        </w:rPr>
        <w:t xml:space="preserve"> </w:t>
      </w:r>
      <w:r w:rsidR="00CE5EEE" w:rsidRPr="003E53D8">
        <w:rPr>
          <w:sz w:val="22"/>
          <w:szCs w:val="22"/>
        </w:rPr>
        <w:t>Sin embargo, existen deficiencias en el tema de clasificación, principalmente, en la capacidad analítica existente de laboratorios nacionales para</w:t>
      </w:r>
      <w:r w:rsidR="001B4743" w:rsidRPr="003E53D8">
        <w:rPr>
          <w:sz w:val="22"/>
          <w:szCs w:val="22"/>
        </w:rPr>
        <w:t xml:space="preserve"> </w:t>
      </w:r>
      <w:r w:rsidR="00CE5EEE" w:rsidRPr="003E53D8">
        <w:rPr>
          <w:sz w:val="22"/>
          <w:szCs w:val="22"/>
        </w:rPr>
        <w:t>realizar determinaciones de peligros sobre el ecosistema debido a una baja demanda actual por clasificar productos que no se encuentren clasificados en listados o fuentes internacionales.</w:t>
      </w:r>
    </w:p>
    <w:p w:rsidR="00EC64F6" w:rsidRPr="003E53D8" w:rsidRDefault="00EC64F6" w:rsidP="00872364">
      <w:pPr>
        <w:pStyle w:val="Heading3"/>
        <w:spacing w:after="180" w:line="264" w:lineRule="auto"/>
        <w:ind w:left="0" w:right="0" w:firstLine="0"/>
      </w:pPr>
      <w:bookmarkStart w:id="101" w:name="_Toc418168898"/>
      <w:r w:rsidRPr="003E53D8">
        <w:t>Sociedad Civil</w:t>
      </w:r>
      <w:bookmarkEnd w:id="101"/>
    </w:p>
    <w:p w:rsidR="00243B39" w:rsidRPr="005041AE" w:rsidRDefault="009D7808" w:rsidP="00606EAC">
      <w:pPr>
        <w:jc w:val="both"/>
        <w:rPr>
          <w:sz w:val="22"/>
          <w:szCs w:val="22"/>
        </w:rPr>
      </w:pPr>
      <w:r w:rsidRPr="005041AE">
        <w:rPr>
          <w:sz w:val="22"/>
          <w:szCs w:val="22"/>
        </w:rPr>
        <w:t>La importancia de la Sociedad Civil en la comunicación eficaz de peligros químicos radica en que la organizaciones no gubernamentales</w:t>
      </w:r>
      <w:r w:rsidR="004F1E5C" w:rsidRPr="005041AE">
        <w:rPr>
          <w:sz w:val="22"/>
          <w:szCs w:val="22"/>
        </w:rPr>
        <w:t xml:space="preserve"> tienen el rol de sensibilizar</w:t>
      </w:r>
      <w:r w:rsidR="00EA13C4" w:rsidRPr="005041AE">
        <w:rPr>
          <w:sz w:val="22"/>
          <w:szCs w:val="22"/>
        </w:rPr>
        <w:t>, educar y suministrar información actualizada a la población en general y a las comunidades locales directamente y a través de diversos medios de comunicación.</w:t>
      </w:r>
    </w:p>
    <w:p w:rsidR="00DD69AD" w:rsidRPr="003E53D8" w:rsidRDefault="00EB7098" w:rsidP="00606EAC">
      <w:pPr>
        <w:jc w:val="both"/>
        <w:rPr>
          <w:sz w:val="22"/>
          <w:szCs w:val="22"/>
        </w:rPr>
      </w:pPr>
      <w:r w:rsidRPr="003E53D8">
        <w:rPr>
          <w:sz w:val="22"/>
          <w:szCs w:val="22"/>
        </w:rPr>
        <w:t xml:space="preserve">Los </w:t>
      </w:r>
      <w:r w:rsidR="0035593C" w:rsidRPr="003E53D8">
        <w:rPr>
          <w:sz w:val="22"/>
          <w:szCs w:val="22"/>
        </w:rPr>
        <w:t>Sindicatos juegan una importante labor en la comunicación de peligros en este sector, desarrollando actividades destinadas al mejoramiento de los sistemas de prevención de riesgos de accidentes laborales a través de la recopilación de información por parte de sus afiliados.</w:t>
      </w:r>
    </w:p>
    <w:p w:rsidR="00585EFC" w:rsidRPr="003E53D8" w:rsidRDefault="000D1F37" w:rsidP="00606EAC">
      <w:pPr>
        <w:jc w:val="both"/>
        <w:rPr>
          <w:sz w:val="22"/>
          <w:szCs w:val="22"/>
        </w:rPr>
      </w:pPr>
      <w:r w:rsidRPr="003E53D8">
        <w:rPr>
          <w:sz w:val="22"/>
          <w:szCs w:val="22"/>
        </w:rPr>
        <w:t>En</w:t>
      </w:r>
      <w:r w:rsidR="0035593C" w:rsidRPr="003E53D8">
        <w:rPr>
          <w:sz w:val="22"/>
          <w:szCs w:val="22"/>
        </w:rPr>
        <w:t xml:space="preserve"> el sector Agricultura, existen organizaciones </w:t>
      </w:r>
      <w:r w:rsidR="0054131D" w:rsidRPr="003E53D8">
        <w:rPr>
          <w:sz w:val="22"/>
          <w:szCs w:val="22"/>
        </w:rPr>
        <w:t xml:space="preserve">centradas en el resguardo de la salud y vida de los trabajadores agrícolas y en el cumplimiento de las leyes laborales relacionadas con ellos y en </w:t>
      </w:r>
      <w:r w:rsidR="001E0E60" w:rsidRPr="003E53D8">
        <w:rPr>
          <w:sz w:val="22"/>
          <w:szCs w:val="22"/>
        </w:rPr>
        <w:t xml:space="preserve">la </w:t>
      </w:r>
      <w:r w:rsidR="0054131D" w:rsidRPr="003E53D8">
        <w:rPr>
          <w:sz w:val="22"/>
          <w:szCs w:val="22"/>
        </w:rPr>
        <w:t>oposición al uso masivo e indiscriminado de plaguicidas. Éstas son:</w:t>
      </w:r>
    </w:p>
    <w:p w:rsidR="0054131D" w:rsidRPr="003E53D8" w:rsidRDefault="0054131D" w:rsidP="00D4302C">
      <w:pPr>
        <w:pStyle w:val="ListParagraph"/>
        <w:numPr>
          <w:ilvl w:val="0"/>
          <w:numId w:val="61"/>
        </w:numPr>
        <w:jc w:val="both"/>
        <w:rPr>
          <w:sz w:val="22"/>
          <w:szCs w:val="22"/>
        </w:rPr>
      </w:pPr>
      <w:r w:rsidRPr="003E53D8">
        <w:rPr>
          <w:sz w:val="22"/>
          <w:szCs w:val="22"/>
        </w:rPr>
        <w:t>Confederación Nacional Campesina e Indígena Nehuén</w:t>
      </w:r>
    </w:p>
    <w:p w:rsidR="0054131D" w:rsidRPr="003E53D8" w:rsidRDefault="0054131D" w:rsidP="00D4302C">
      <w:pPr>
        <w:pStyle w:val="ListParagraph"/>
        <w:numPr>
          <w:ilvl w:val="0"/>
          <w:numId w:val="61"/>
        </w:numPr>
        <w:jc w:val="both"/>
        <w:rPr>
          <w:sz w:val="22"/>
          <w:szCs w:val="22"/>
        </w:rPr>
      </w:pPr>
      <w:r w:rsidRPr="003E53D8">
        <w:rPr>
          <w:sz w:val="22"/>
          <w:szCs w:val="22"/>
        </w:rPr>
        <w:t>Red de Acción en Plaguicidas y sus alternativas para América Latina (RAP</w:t>
      </w:r>
      <w:r w:rsidR="00483AA9" w:rsidRPr="003E53D8">
        <w:rPr>
          <w:sz w:val="22"/>
          <w:szCs w:val="22"/>
        </w:rPr>
        <w:t>-</w:t>
      </w:r>
      <w:r w:rsidRPr="003E53D8">
        <w:rPr>
          <w:sz w:val="22"/>
          <w:szCs w:val="22"/>
        </w:rPr>
        <w:t>AL)</w:t>
      </w:r>
    </w:p>
    <w:p w:rsidR="0054131D" w:rsidRPr="003E53D8" w:rsidRDefault="0054131D" w:rsidP="00606EAC">
      <w:pPr>
        <w:jc w:val="both"/>
        <w:rPr>
          <w:sz w:val="22"/>
          <w:szCs w:val="22"/>
        </w:rPr>
      </w:pPr>
      <w:r w:rsidRPr="003E53D8">
        <w:rPr>
          <w:sz w:val="22"/>
          <w:szCs w:val="22"/>
        </w:rPr>
        <w:t>La primera de ellas efectúa, principalmente, actividades de capacitación a trabajadores, en tanto la segunda, se enf</w:t>
      </w:r>
      <w:r w:rsidR="00A16881" w:rsidRPr="003E53D8">
        <w:rPr>
          <w:sz w:val="22"/>
          <w:szCs w:val="22"/>
        </w:rPr>
        <w:t>oca en actividades de concienci</w:t>
      </w:r>
      <w:r w:rsidRPr="003E53D8">
        <w:rPr>
          <w:sz w:val="22"/>
          <w:szCs w:val="22"/>
        </w:rPr>
        <w:t>ación y sensibilización sobre los peligros e impactos del uso de plaguicidas</w:t>
      </w:r>
      <w:r w:rsidR="001929E9" w:rsidRPr="003E53D8">
        <w:rPr>
          <w:sz w:val="22"/>
          <w:szCs w:val="22"/>
        </w:rPr>
        <w:t xml:space="preserve"> y </w:t>
      </w:r>
      <w:r w:rsidR="00BA2253" w:rsidRPr="003E53D8">
        <w:rPr>
          <w:sz w:val="22"/>
          <w:szCs w:val="22"/>
        </w:rPr>
        <w:t xml:space="preserve">la </w:t>
      </w:r>
      <w:r w:rsidR="001929E9" w:rsidRPr="003E53D8">
        <w:rPr>
          <w:sz w:val="22"/>
          <w:szCs w:val="22"/>
        </w:rPr>
        <w:t xml:space="preserve">promoción de investigación </w:t>
      </w:r>
      <w:r w:rsidR="00BA2253" w:rsidRPr="003E53D8">
        <w:rPr>
          <w:sz w:val="22"/>
          <w:szCs w:val="22"/>
        </w:rPr>
        <w:t xml:space="preserve">y difusión </w:t>
      </w:r>
      <w:r w:rsidR="001929E9" w:rsidRPr="003E53D8">
        <w:rPr>
          <w:sz w:val="22"/>
          <w:szCs w:val="22"/>
        </w:rPr>
        <w:t xml:space="preserve">para </w:t>
      </w:r>
      <w:r w:rsidR="00BA2253" w:rsidRPr="003E53D8">
        <w:rPr>
          <w:sz w:val="22"/>
          <w:szCs w:val="22"/>
        </w:rPr>
        <w:t xml:space="preserve">el uso de </w:t>
      </w:r>
      <w:r w:rsidR="001929E9" w:rsidRPr="003E53D8">
        <w:rPr>
          <w:sz w:val="22"/>
          <w:szCs w:val="22"/>
        </w:rPr>
        <w:t>productos alternativos a ellos.</w:t>
      </w:r>
    </w:p>
    <w:p w:rsidR="001929E9" w:rsidRPr="00543BCD" w:rsidRDefault="00BA2253" w:rsidP="00606EAC">
      <w:pPr>
        <w:autoSpaceDE w:val="0"/>
        <w:autoSpaceDN w:val="0"/>
        <w:adjustRightInd w:val="0"/>
        <w:jc w:val="both"/>
        <w:rPr>
          <w:rFonts w:ascii="Times New Roman" w:hAnsi="Times New Roman"/>
          <w:kern w:val="0"/>
          <w:szCs w:val="23"/>
          <w:lang w:val="es-ES"/>
        </w:rPr>
      </w:pPr>
      <w:r w:rsidRPr="003E53D8">
        <w:rPr>
          <w:sz w:val="22"/>
          <w:szCs w:val="22"/>
        </w:rPr>
        <w:t xml:space="preserve">En el sector de Productos de </w:t>
      </w:r>
      <w:r w:rsidRPr="00543BCD">
        <w:rPr>
          <w:sz w:val="22"/>
          <w:szCs w:val="22"/>
        </w:rPr>
        <w:t>Consumo,</w:t>
      </w:r>
      <w:r w:rsidR="00543BCD" w:rsidRPr="00543BCD">
        <w:rPr>
          <w:sz w:val="22"/>
          <w:szCs w:val="22"/>
        </w:rPr>
        <w:t xml:space="preserve"> donde se incluyen productos</w:t>
      </w:r>
      <w:r w:rsidR="000D405B">
        <w:rPr>
          <w:sz w:val="22"/>
          <w:szCs w:val="22"/>
        </w:rPr>
        <w:t xml:space="preserve"> de uso cotidiano</w:t>
      </w:r>
      <w:r w:rsidR="00543BCD" w:rsidRPr="00543BCD">
        <w:rPr>
          <w:sz w:val="22"/>
          <w:szCs w:val="22"/>
        </w:rPr>
        <w:t xml:space="preserve"> como </w:t>
      </w:r>
      <w:r w:rsidR="00DE243B">
        <w:rPr>
          <w:kern w:val="0"/>
          <w:sz w:val="22"/>
          <w:szCs w:val="22"/>
          <w:lang w:val="es-ES"/>
        </w:rPr>
        <w:t>lejías, pinturas, tintes</w:t>
      </w:r>
      <w:r w:rsidR="00F51D5A">
        <w:rPr>
          <w:kern w:val="0"/>
          <w:sz w:val="22"/>
          <w:szCs w:val="22"/>
        </w:rPr>
        <w:t>, plaguicidas para jardines</w:t>
      </w:r>
      <w:r w:rsidR="00DE243B">
        <w:rPr>
          <w:kern w:val="0"/>
          <w:sz w:val="22"/>
          <w:szCs w:val="22"/>
          <w:lang w:val="es-ES"/>
        </w:rPr>
        <w:t xml:space="preserve"> </w:t>
      </w:r>
      <w:r w:rsidR="00543BCD" w:rsidRPr="00543BCD">
        <w:rPr>
          <w:kern w:val="0"/>
          <w:sz w:val="22"/>
          <w:szCs w:val="22"/>
          <w:lang w:val="es-ES"/>
        </w:rPr>
        <w:t>y productos de limpieza</w:t>
      </w:r>
      <w:r w:rsidR="00204A82">
        <w:rPr>
          <w:kern w:val="0"/>
          <w:sz w:val="22"/>
          <w:szCs w:val="22"/>
          <w:lang w:val="es-ES"/>
        </w:rPr>
        <w:t xml:space="preserve">, </w:t>
      </w:r>
      <w:r w:rsidRPr="00543BCD">
        <w:rPr>
          <w:sz w:val="22"/>
          <w:szCs w:val="22"/>
        </w:rPr>
        <w:t>existe</w:t>
      </w:r>
      <w:r w:rsidRPr="003E53D8">
        <w:rPr>
          <w:sz w:val="22"/>
          <w:szCs w:val="22"/>
        </w:rPr>
        <w:t xml:space="preserve"> una amplia gama de organizaciones que desarrollan actividades relacionadas con la gestión de sustancias químicas</w:t>
      </w:r>
      <w:r w:rsidR="00E25F3D" w:rsidRPr="003E53D8">
        <w:rPr>
          <w:sz w:val="22"/>
          <w:szCs w:val="22"/>
        </w:rPr>
        <w:t>, el medioambiente y los derechos de los consumidores</w:t>
      </w:r>
      <w:r w:rsidRPr="003E53D8">
        <w:rPr>
          <w:sz w:val="22"/>
          <w:szCs w:val="22"/>
        </w:rPr>
        <w:t>:</w:t>
      </w:r>
    </w:p>
    <w:p w:rsidR="00BA2253" w:rsidRPr="003E53D8" w:rsidRDefault="00BA2253" w:rsidP="00D4302C">
      <w:pPr>
        <w:pStyle w:val="ListParagraph"/>
        <w:numPr>
          <w:ilvl w:val="0"/>
          <w:numId w:val="62"/>
        </w:numPr>
        <w:jc w:val="both"/>
        <w:rPr>
          <w:sz w:val="22"/>
          <w:szCs w:val="22"/>
        </w:rPr>
      </w:pPr>
      <w:r w:rsidRPr="003E53D8">
        <w:rPr>
          <w:sz w:val="22"/>
          <w:szCs w:val="22"/>
        </w:rPr>
        <w:t>Fundación Greenpeace Pacífico Sur</w:t>
      </w:r>
    </w:p>
    <w:p w:rsidR="00BA2253" w:rsidRPr="003E53D8" w:rsidRDefault="001C363E" w:rsidP="00D4302C">
      <w:pPr>
        <w:pStyle w:val="ListParagraph"/>
        <w:numPr>
          <w:ilvl w:val="0"/>
          <w:numId w:val="62"/>
        </w:numPr>
        <w:jc w:val="both"/>
        <w:rPr>
          <w:sz w:val="22"/>
          <w:szCs w:val="22"/>
        </w:rPr>
      </w:pPr>
      <w:r w:rsidRPr="003E53D8">
        <w:rPr>
          <w:sz w:val="22"/>
          <w:szCs w:val="22"/>
        </w:rPr>
        <w:t>OLCA (</w:t>
      </w:r>
      <w:r w:rsidR="00BA2253" w:rsidRPr="003E53D8">
        <w:rPr>
          <w:sz w:val="22"/>
          <w:szCs w:val="22"/>
        </w:rPr>
        <w:t>Observatorio Latinoamerica</w:t>
      </w:r>
      <w:r w:rsidRPr="003E53D8">
        <w:rPr>
          <w:sz w:val="22"/>
          <w:szCs w:val="22"/>
        </w:rPr>
        <w:t>no de Conflictos Ambientales</w:t>
      </w:r>
      <w:r w:rsidR="00BA2253" w:rsidRPr="003E53D8">
        <w:rPr>
          <w:sz w:val="22"/>
          <w:szCs w:val="22"/>
        </w:rPr>
        <w:t>)</w:t>
      </w:r>
    </w:p>
    <w:p w:rsidR="00BA2253" w:rsidRPr="003E53D8" w:rsidRDefault="00BA2253" w:rsidP="00D4302C">
      <w:pPr>
        <w:pStyle w:val="ListParagraph"/>
        <w:numPr>
          <w:ilvl w:val="0"/>
          <w:numId w:val="62"/>
        </w:numPr>
        <w:jc w:val="both"/>
        <w:rPr>
          <w:sz w:val="22"/>
          <w:szCs w:val="22"/>
        </w:rPr>
      </w:pPr>
      <w:r w:rsidRPr="003E53D8">
        <w:rPr>
          <w:sz w:val="22"/>
          <w:szCs w:val="22"/>
        </w:rPr>
        <w:t>Fundación Terram</w:t>
      </w:r>
    </w:p>
    <w:p w:rsidR="00AB558C" w:rsidRPr="003E53D8" w:rsidRDefault="00AB558C" w:rsidP="00D4302C">
      <w:pPr>
        <w:pStyle w:val="ListParagraph"/>
        <w:numPr>
          <w:ilvl w:val="0"/>
          <w:numId w:val="62"/>
        </w:numPr>
        <w:jc w:val="both"/>
        <w:rPr>
          <w:sz w:val="22"/>
          <w:szCs w:val="22"/>
        </w:rPr>
      </w:pPr>
      <w:r w:rsidRPr="003E53D8">
        <w:rPr>
          <w:sz w:val="22"/>
          <w:szCs w:val="22"/>
        </w:rPr>
        <w:t>CONADECUS (Corporación Nacional de Consumidores y Usuarios de Chile)</w:t>
      </w:r>
    </w:p>
    <w:p w:rsidR="00AB558C" w:rsidRPr="003E53D8" w:rsidRDefault="00AB558C" w:rsidP="00D4302C">
      <w:pPr>
        <w:pStyle w:val="ListParagraph"/>
        <w:numPr>
          <w:ilvl w:val="0"/>
          <w:numId w:val="62"/>
        </w:numPr>
        <w:jc w:val="both"/>
        <w:rPr>
          <w:sz w:val="22"/>
          <w:szCs w:val="22"/>
        </w:rPr>
      </w:pPr>
      <w:r w:rsidRPr="003E53D8">
        <w:rPr>
          <w:sz w:val="22"/>
          <w:szCs w:val="22"/>
        </w:rPr>
        <w:t>ODECU (Organización de Consumidores y Usuarios)</w:t>
      </w:r>
    </w:p>
    <w:p w:rsidR="00A75EE3" w:rsidRPr="003E53D8" w:rsidRDefault="00A75EE3" w:rsidP="00D4302C">
      <w:pPr>
        <w:pStyle w:val="ListParagraph"/>
        <w:numPr>
          <w:ilvl w:val="0"/>
          <w:numId w:val="62"/>
        </w:numPr>
        <w:jc w:val="both"/>
        <w:rPr>
          <w:sz w:val="22"/>
          <w:szCs w:val="22"/>
        </w:rPr>
      </w:pPr>
      <w:r w:rsidRPr="003E53D8">
        <w:rPr>
          <w:sz w:val="22"/>
          <w:szCs w:val="22"/>
        </w:rPr>
        <w:t>ORCUS</w:t>
      </w:r>
      <w:r w:rsidR="00AB558C" w:rsidRPr="003E53D8">
        <w:rPr>
          <w:sz w:val="22"/>
          <w:szCs w:val="22"/>
        </w:rPr>
        <w:t xml:space="preserve"> (Organización de Consumidores y Usuarios)</w:t>
      </w:r>
    </w:p>
    <w:p w:rsidR="00AB558C" w:rsidRPr="003E53D8" w:rsidRDefault="00AB558C" w:rsidP="00D4302C">
      <w:pPr>
        <w:pStyle w:val="ListParagraph"/>
        <w:numPr>
          <w:ilvl w:val="0"/>
          <w:numId w:val="62"/>
        </w:numPr>
        <w:jc w:val="both"/>
        <w:rPr>
          <w:sz w:val="22"/>
          <w:szCs w:val="22"/>
        </w:rPr>
      </w:pPr>
      <w:r w:rsidRPr="003E53D8">
        <w:rPr>
          <w:sz w:val="22"/>
          <w:szCs w:val="22"/>
        </w:rPr>
        <w:t>ANADEUS (Asociación Nacional de Defensa de los Derechos de los Consumidores y Usuarios de la Seguridad Social)</w:t>
      </w:r>
    </w:p>
    <w:p w:rsidR="00CB225B" w:rsidRPr="003E53D8" w:rsidRDefault="00AB558C" w:rsidP="00D4302C">
      <w:pPr>
        <w:pStyle w:val="ListParagraph"/>
        <w:numPr>
          <w:ilvl w:val="0"/>
          <w:numId w:val="62"/>
        </w:numPr>
        <w:jc w:val="both"/>
        <w:rPr>
          <w:sz w:val="22"/>
          <w:szCs w:val="22"/>
        </w:rPr>
      </w:pPr>
      <w:r w:rsidRPr="003E53D8">
        <w:rPr>
          <w:sz w:val="22"/>
          <w:szCs w:val="22"/>
        </w:rPr>
        <w:t>Ecoceanos</w:t>
      </w:r>
    </w:p>
    <w:p w:rsidR="00CB225B" w:rsidRPr="003E53D8" w:rsidRDefault="00635472" w:rsidP="00D4302C">
      <w:pPr>
        <w:pStyle w:val="ListParagraph"/>
        <w:numPr>
          <w:ilvl w:val="0"/>
          <w:numId w:val="62"/>
        </w:numPr>
        <w:jc w:val="both"/>
        <w:rPr>
          <w:sz w:val="22"/>
          <w:szCs w:val="22"/>
        </w:rPr>
      </w:pPr>
      <w:r w:rsidRPr="003E53D8">
        <w:rPr>
          <w:sz w:val="22"/>
          <w:szCs w:val="22"/>
        </w:rPr>
        <w:t>Corporación RITA Chile</w:t>
      </w:r>
    </w:p>
    <w:p w:rsidR="00635472" w:rsidRPr="003E53D8" w:rsidRDefault="00635472" w:rsidP="00D4302C">
      <w:pPr>
        <w:pStyle w:val="ListParagraph"/>
        <w:numPr>
          <w:ilvl w:val="0"/>
          <w:numId w:val="62"/>
        </w:numPr>
        <w:jc w:val="both"/>
        <w:rPr>
          <w:sz w:val="22"/>
          <w:szCs w:val="22"/>
        </w:rPr>
      </w:pPr>
      <w:r w:rsidRPr="003E53D8">
        <w:rPr>
          <w:sz w:val="22"/>
          <w:szCs w:val="22"/>
        </w:rPr>
        <w:t>Desarrollo Rural Colchagua </w:t>
      </w:r>
    </w:p>
    <w:p w:rsidR="00635472" w:rsidRPr="003E53D8" w:rsidRDefault="00635472" w:rsidP="00D4302C">
      <w:pPr>
        <w:pStyle w:val="ListParagraph"/>
        <w:numPr>
          <w:ilvl w:val="0"/>
          <w:numId w:val="62"/>
        </w:numPr>
        <w:jc w:val="both"/>
        <w:rPr>
          <w:sz w:val="22"/>
          <w:szCs w:val="22"/>
        </w:rPr>
      </w:pPr>
      <w:r w:rsidRPr="003E53D8">
        <w:rPr>
          <w:sz w:val="22"/>
          <w:szCs w:val="22"/>
        </w:rPr>
        <w:t>Corporación Privada de Desarrollo Social e Investigaciones GIA</w:t>
      </w:r>
    </w:p>
    <w:p w:rsidR="00635472" w:rsidRPr="003E53D8" w:rsidRDefault="00635472" w:rsidP="00D4302C">
      <w:pPr>
        <w:pStyle w:val="ListParagraph"/>
        <w:numPr>
          <w:ilvl w:val="0"/>
          <w:numId w:val="62"/>
        </w:numPr>
        <w:jc w:val="both"/>
        <w:rPr>
          <w:sz w:val="22"/>
          <w:szCs w:val="22"/>
        </w:rPr>
      </w:pPr>
      <w:r w:rsidRPr="003E53D8">
        <w:rPr>
          <w:sz w:val="22"/>
          <w:szCs w:val="22"/>
        </w:rPr>
        <w:t>Grupo de Estudios Agrorregionales GEA</w:t>
      </w:r>
    </w:p>
    <w:p w:rsidR="00635472" w:rsidRPr="003E53D8" w:rsidRDefault="00635472" w:rsidP="00D4302C">
      <w:pPr>
        <w:pStyle w:val="ListParagraph"/>
        <w:numPr>
          <w:ilvl w:val="0"/>
          <w:numId w:val="62"/>
        </w:numPr>
        <w:jc w:val="both"/>
        <w:rPr>
          <w:sz w:val="22"/>
          <w:szCs w:val="22"/>
        </w:rPr>
      </w:pPr>
      <w:r w:rsidRPr="003E53D8">
        <w:rPr>
          <w:sz w:val="22"/>
          <w:szCs w:val="22"/>
        </w:rPr>
        <w:t>Fundación Terram</w:t>
      </w:r>
    </w:p>
    <w:p w:rsidR="00635472" w:rsidRPr="003E53D8" w:rsidRDefault="00635472" w:rsidP="00D4302C">
      <w:pPr>
        <w:pStyle w:val="ListParagraph"/>
        <w:numPr>
          <w:ilvl w:val="0"/>
          <w:numId w:val="62"/>
        </w:numPr>
        <w:jc w:val="both"/>
        <w:rPr>
          <w:sz w:val="22"/>
          <w:szCs w:val="22"/>
        </w:rPr>
      </w:pPr>
      <w:r w:rsidRPr="003E53D8">
        <w:rPr>
          <w:sz w:val="22"/>
          <w:szCs w:val="22"/>
        </w:rPr>
        <w:t>CODEFF, Comité Nacional Pro Defensa de la Fauna y Flora </w:t>
      </w:r>
    </w:p>
    <w:p w:rsidR="00635472" w:rsidRPr="003E53D8" w:rsidRDefault="00635472" w:rsidP="00D4302C">
      <w:pPr>
        <w:pStyle w:val="ListParagraph"/>
        <w:numPr>
          <w:ilvl w:val="0"/>
          <w:numId w:val="62"/>
        </w:numPr>
        <w:jc w:val="both"/>
        <w:rPr>
          <w:sz w:val="22"/>
          <w:szCs w:val="22"/>
        </w:rPr>
      </w:pPr>
      <w:r w:rsidRPr="003E53D8">
        <w:rPr>
          <w:sz w:val="22"/>
          <w:szCs w:val="22"/>
        </w:rPr>
        <w:t>Corporación El Canelo de Nos </w:t>
      </w:r>
    </w:p>
    <w:p w:rsidR="00635472" w:rsidRPr="003E53D8" w:rsidRDefault="00635472" w:rsidP="00D4302C">
      <w:pPr>
        <w:pStyle w:val="ListParagraph"/>
        <w:numPr>
          <w:ilvl w:val="0"/>
          <w:numId w:val="62"/>
        </w:numPr>
        <w:jc w:val="both"/>
        <w:rPr>
          <w:sz w:val="22"/>
          <w:szCs w:val="22"/>
        </w:rPr>
      </w:pPr>
      <w:r w:rsidRPr="003E53D8">
        <w:rPr>
          <w:sz w:val="22"/>
          <w:szCs w:val="22"/>
        </w:rPr>
        <w:t>Oceana</w:t>
      </w:r>
    </w:p>
    <w:p w:rsidR="00E6639E" w:rsidRDefault="00E05246" w:rsidP="00E6639E">
      <w:pPr>
        <w:jc w:val="both"/>
        <w:rPr>
          <w:sz w:val="22"/>
          <w:szCs w:val="22"/>
        </w:rPr>
      </w:pPr>
      <w:r w:rsidRPr="003E53D8">
        <w:rPr>
          <w:sz w:val="22"/>
          <w:szCs w:val="22"/>
        </w:rPr>
        <w:t>La principal</w:t>
      </w:r>
      <w:r w:rsidR="00D066E2" w:rsidRPr="003E53D8">
        <w:rPr>
          <w:sz w:val="22"/>
          <w:szCs w:val="22"/>
        </w:rPr>
        <w:t xml:space="preserve"> destreza de estos grupos es la comunicación e información al p</w:t>
      </w:r>
      <w:r w:rsidR="00A46731" w:rsidRPr="003E53D8">
        <w:rPr>
          <w:sz w:val="22"/>
          <w:szCs w:val="22"/>
        </w:rPr>
        <w:t xml:space="preserve">úblico </w:t>
      </w:r>
      <w:r w:rsidR="00D066E2" w:rsidRPr="003E53D8">
        <w:rPr>
          <w:sz w:val="22"/>
          <w:szCs w:val="22"/>
        </w:rPr>
        <w:t>sobre los riesgos a la salud y al medio ambiente que pueden causar las sustancias químicas, desarrollando programas educativos sobre prevención de problemas ambientales, realizando evaluaciones de riesgos y sugiriendo medidas de mitigación.</w:t>
      </w:r>
      <w:r w:rsidR="00204A82">
        <w:rPr>
          <w:sz w:val="22"/>
          <w:szCs w:val="22"/>
        </w:rPr>
        <w:t xml:space="preserve"> Entre las actividades desarrolladas por estas organizaciones se encuentran: Capacitación a trabajadores agrícolas, </w:t>
      </w:r>
      <w:r w:rsidR="000E53C0">
        <w:rPr>
          <w:sz w:val="22"/>
          <w:szCs w:val="22"/>
        </w:rPr>
        <w:t>C</w:t>
      </w:r>
      <w:r w:rsidR="00204A82">
        <w:rPr>
          <w:sz w:val="22"/>
          <w:szCs w:val="22"/>
        </w:rPr>
        <w:t xml:space="preserve">ampañas para promover ambiente libre de contaminación, </w:t>
      </w:r>
      <w:r w:rsidR="000E53C0">
        <w:rPr>
          <w:sz w:val="22"/>
          <w:szCs w:val="22"/>
        </w:rPr>
        <w:t>Catastro de conflictos ambientales, Sensibilización sobre uso de plaguicidas</w:t>
      </w:r>
      <w:r w:rsidR="00C92A52">
        <w:rPr>
          <w:sz w:val="22"/>
          <w:szCs w:val="22"/>
        </w:rPr>
        <w:t xml:space="preserve"> y</w:t>
      </w:r>
      <w:r w:rsidR="000E53C0">
        <w:rPr>
          <w:sz w:val="22"/>
          <w:szCs w:val="22"/>
        </w:rPr>
        <w:t xml:space="preserve"> Apoyo y estimulación de la participación ciudadana para promover el desarrollo sustentable, </w:t>
      </w:r>
      <w:r w:rsidR="00C92A52">
        <w:rPr>
          <w:sz w:val="22"/>
          <w:szCs w:val="22"/>
        </w:rPr>
        <w:t>las que tiene como objetivos sensibilizar, educar y suministrar información actualizada a la población y a las comunidades locales directamente y a través de diversos medios de comunicación.</w:t>
      </w:r>
      <w:r w:rsidR="00E6639E" w:rsidRPr="00E6639E">
        <w:rPr>
          <w:sz w:val="22"/>
          <w:szCs w:val="22"/>
        </w:rPr>
        <w:t xml:space="preserve"> </w:t>
      </w:r>
    </w:p>
    <w:p w:rsidR="00E6639E" w:rsidRPr="003E53D8" w:rsidRDefault="00C92A52" w:rsidP="00E6639E">
      <w:pPr>
        <w:jc w:val="both"/>
        <w:rPr>
          <w:sz w:val="22"/>
          <w:szCs w:val="22"/>
        </w:rPr>
      </w:pPr>
      <w:r>
        <w:rPr>
          <w:sz w:val="22"/>
          <w:szCs w:val="22"/>
        </w:rPr>
        <w:t>En particular, destacan diversas</w:t>
      </w:r>
      <w:r w:rsidR="00E6639E" w:rsidRPr="003E53D8">
        <w:rPr>
          <w:sz w:val="22"/>
          <w:szCs w:val="22"/>
        </w:rPr>
        <w:t xml:space="preserve"> ONGs ambientales </w:t>
      </w:r>
      <w:r>
        <w:rPr>
          <w:sz w:val="22"/>
          <w:szCs w:val="22"/>
        </w:rPr>
        <w:t xml:space="preserve">que </w:t>
      </w:r>
      <w:r w:rsidR="00E6639E" w:rsidRPr="003E53D8">
        <w:rPr>
          <w:sz w:val="22"/>
          <w:szCs w:val="22"/>
        </w:rPr>
        <w:t xml:space="preserve">han incorporado a su accionar </w:t>
      </w:r>
      <w:r>
        <w:rPr>
          <w:sz w:val="22"/>
          <w:szCs w:val="22"/>
        </w:rPr>
        <w:t xml:space="preserve">diversos </w:t>
      </w:r>
      <w:r w:rsidR="00E6639E" w:rsidRPr="003E53D8">
        <w:rPr>
          <w:sz w:val="22"/>
          <w:szCs w:val="22"/>
        </w:rPr>
        <w:t xml:space="preserve">programas de difusión en torno a la temática de la gestión </w:t>
      </w:r>
      <w:r>
        <w:rPr>
          <w:sz w:val="22"/>
          <w:szCs w:val="22"/>
        </w:rPr>
        <w:t xml:space="preserve">de </w:t>
      </w:r>
      <w:r w:rsidR="00E6639E" w:rsidRPr="003E53D8">
        <w:rPr>
          <w:sz w:val="22"/>
          <w:szCs w:val="22"/>
        </w:rPr>
        <w:t>plaguicidas, dando apoyo a los esfuerzos nacionales en esta temática, participando en instancias de coordinación junto a representantes del sector industrial, universidades, municipalidades, etc.</w:t>
      </w:r>
    </w:p>
    <w:p w:rsidR="00872293" w:rsidRPr="00E6639E" w:rsidRDefault="00E6639E" w:rsidP="00872293">
      <w:pPr>
        <w:jc w:val="both"/>
        <w:rPr>
          <w:sz w:val="22"/>
          <w:szCs w:val="22"/>
        </w:rPr>
      </w:pPr>
      <w:r>
        <w:rPr>
          <w:sz w:val="22"/>
          <w:szCs w:val="22"/>
        </w:rPr>
        <w:t xml:space="preserve">El sector académico por su parte, </w:t>
      </w:r>
      <w:r w:rsidR="00971F61" w:rsidRPr="003E53D8">
        <w:rPr>
          <w:sz w:val="22"/>
          <w:szCs w:val="22"/>
        </w:rPr>
        <w:t>representado por Universidades e Institutos de Investigación</w:t>
      </w:r>
      <w:r w:rsidR="0082639B" w:rsidRPr="003E53D8">
        <w:rPr>
          <w:sz w:val="22"/>
          <w:szCs w:val="22"/>
        </w:rPr>
        <w:t xml:space="preserve"> a lo largo del país</w:t>
      </w:r>
      <w:r w:rsidR="00971F61" w:rsidRPr="003E53D8">
        <w:rPr>
          <w:sz w:val="22"/>
          <w:szCs w:val="22"/>
        </w:rPr>
        <w:t xml:space="preserve">, realiza actividades en distintas áreas relacionadas con la gestión de sustancias químicas, por ejemplo, Recolección de información, Ensayos de sustancias químicas, Estudios de riesgos, Análisis de políticas, Investigación sobre alternativas, pero las principales corresponden a la Difusión del Conocimiento e Información a trabajadores y público en general a través de actividades de </w:t>
      </w:r>
      <w:r w:rsidR="00971F61" w:rsidRPr="00E6639E">
        <w:rPr>
          <w:sz w:val="22"/>
          <w:szCs w:val="22"/>
        </w:rPr>
        <w:t>Educación y Entrenamiento</w:t>
      </w:r>
      <w:r w:rsidR="00181578" w:rsidRPr="00E6639E">
        <w:rPr>
          <w:sz w:val="22"/>
          <w:szCs w:val="22"/>
        </w:rPr>
        <w:t>.</w:t>
      </w:r>
      <w:r w:rsidRPr="00E6639E">
        <w:rPr>
          <w:sz w:val="22"/>
          <w:szCs w:val="22"/>
        </w:rPr>
        <w:t xml:space="preserve"> Este sector, además, cuenta con </w:t>
      </w:r>
      <w:r w:rsidR="00872293" w:rsidRPr="00E6639E">
        <w:rPr>
          <w:sz w:val="22"/>
          <w:szCs w:val="22"/>
        </w:rPr>
        <w:t xml:space="preserve">profesionales especialistas en temas de relevancia para la implementación del GHS como clasificación de peligros, riesgos fisicoquímicos, riesgos a la salud y riesgos al medio ambiente, </w:t>
      </w:r>
      <w:r w:rsidRPr="00E6639E">
        <w:rPr>
          <w:sz w:val="22"/>
          <w:szCs w:val="22"/>
        </w:rPr>
        <w:t>por lo que sería recomendable</w:t>
      </w:r>
      <w:r w:rsidR="00872293" w:rsidRPr="00E6639E">
        <w:rPr>
          <w:sz w:val="22"/>
          <w:szCs w:val="22"/>
        </w:rPr>
        <w:t xml:space="preserve"> la inclusión obligatoria de estas ma</w:t>
      </w:r>
      <w:r>
        <w:rPr>
          <w:sz w:val="22"/>
          <w:szCs w:val="22"/>
        </w:rPr>
        <w:t>terias en los planes de estudio dentro de los establecimientos educacionales.</w:t>
      </w:r>
    </w:p>
    <w:p w:rsidR="00AE0CD6" w:rsidRPr="00E61751" w:rsidRDefault="00B85E4A" w:rsidP="00606EAC">
      <w:pPr>
        <w:jc w:val="both"/>
        <w:rPr>
          <w:sz w:val="22"/>
          <w:szCs w:val="22"/>
        </w:rPr>
      </w:pPr>
      <w:r>
        <w:rPr>
          <w:sz w:val="22"/>
          <w:szCs w:val="22"/>
        </w:rPr>
        <w:t>E</w:t>
      </w:r>
      <w:r w:rsidR="00E0315C" w:rsidRPr="003E53D8">
        <w:rPr>
          <w:sz w:val="22"/>
          <w:szCs w:val="22"/>
        </w:rPr>
        <w:t>n los últimos años</w:t>
      </w:r>
      <w:r>
        <w:rPr>
          <w:sz w:val="22"/>
          <w:szCs w:val="22"/>
        </w:rPr>
        <w:t>, han sido reportados diversos incidentes</w:t>
      </w:r>
      <w:r w:rsidR="00E0315C" w:rsidRPr="003E53D8">
        <w:rPr>
          <w:sz w:val="22"/>
          <w:szCs w:val="22"/>
        </w:rPr>
        <w:t xml:space="preserve"> </w:t>
      </w:r>
      <w:r w:rsidR="00115ED3" w:rsidRPr="003E53D8">
        <w:rPr>
          <w:sz w:val="22"/>
          <w:szCs w:val="22"/>
        </w:rPr>
        <w:t>relacionados con sustancias químicas. En general, los accidentes más comunes corresponden a derrame de sustancias peligrosas, volcamiento o choque de camiones, emanaciones de gas e incendios de instalaciones donde se almacenan sustancias químicas</w:t>
      </w:r>
      <w:r w:rsidR="008312AA" w:rsidRPr="003E53D8">
        <w:rPr>
          <w:sz w:val="22"/>
          <w:szCs w:val="22"/>
        </w:rPr>
        <w:t>. Desde el año 2010, la ONEMI elabora informe</w:t>
      </w:r>
      <w:r w:rsidR="00BF7DA3" w:rsidRPr="003E53D8">
        <w:rPr>
          <w:sz w:val="22"/>
          <w:szCs w:val="22"/>
        </w:rPr>
        <w:t>s</w:t>
      </w:r>
      <w:r w:rsidR="008312AA" w:rsidRPr="003E53D8">
        <w:rPr>
          <w:sz w:val="22"/>
          <w:szCs w:val="22"/>
        </w:rPr>
        <w:t xml:space="preserve"> técnicos sobre estos incidentes que son emitidos y difundidos por el Centro Nacional de Alerta Temprana a las autoridades y al Sistema Nacional de Protección Civil</w:t>
      </w:r>
      <w:r w:rsidR="00E61751">
        <w:rPr>
          <w:sz w:val="22"/>
          <w:szCs w:val="22"/>
        </w:rPr>
        <w:t>.</w:t>
      </w:r>
    </w:p>
    <w:p w:rsidR="00D13567" w:rsidRPr="00AD2221" w:rsidRDefault="00D13567" w:rsidP="00872364">
      <w:pPr>
        <w:pStyle w:val="Heading2"/>
        <w:spacing w:before="0" w:after="180"/>
        <w:ind w:left="0" w:firstLine="0"/>
        <w:rPr>
          <w:lang w:val="es-CL"/>
        </w:rPr>
      </w:pPr>
      <w:bookmarkStart w:id="102" w:name="_Toc418168899"/>
      <w:r w:rsidRPr="00AD2221">
        <w:rPr>
          <w:lang w:val="es-CL"/>
        </w:rPr>
        <w:t>Análisis de Vacíos</w:t>
      </w:r>
      <w:bookmarkEnd w:id="102"/>
    </w:p>
    <w:p w:rsidR="00EC64F6" w:rsidRPr="00AD2221" w:rsidRDefault="00210D7B" w:rsidP="00606EAC">
      <w:pPr>
        <w:jc w:val="both"/>
        <w:rPr>
          <w:sz w:val="22"/>
          <w:szCs w:val="22"/>
          <w:lang w:val="es-CL"/>
        </w:rPr>
      </w:pPr>
      <w:r w:rsidRPr="00AD2221">
        <w:rPr>
          <w:sz w:val="22"/>
          <w:szCs w:val="22"/>
          <w:lang w:val="es-CL"/>
        </w:rPr>
        <w:t>El análisis de v</w:t>
      </w:r>
      <w:r w:rsidR="00F71686" w:rsidRPr="00AD2221">
        <w:rPr>
          <w:sz w:val="22"/>
          <w:szCs w:val="22"/>
          <w:lang w:val="es-CL"/>
        </w:rPr>
        <w:t xml:space="preserve">acíos permitirá determinar cuáles serán las acciones a incluir en la estrategia de implementación del GHS a partir de las brechas que se detectaron </w:t>
      </w:r>
      <w:r w:rsidR="0018231B" w:rsidRPr="00AD2221">
        <w:rPr>
          <w:sz w:val="22"/>
          <w:szCs w:val="22"/>
          <w:lang w:val="es-CL"/>
        </w:rPr>
        <w:t>en el</w:t>
      </w:r>
      <w:r w:rsidR="00F71686" w:rsidRPr="00AD2221">
        <w:rPr>
          <w:sz w:val="22"/>
          <w:szCs w:val="22"/>
          <w:lang w:val="es-CL"/>
        </w:rPr>
        <w:t xml:space="preserve"> análisis de situación y </w:t>
      </w:r>
      <w:r w:rsidR="00994C06" w:rsidRPr="00AD2221">
        <w:rPr>
          <w:sz w:val="22"/>
          <w:szCs w:val="22"/>
          <w:lang w:val="es-CL"/>
        </w:rPr>
        <w:t xml:space="preserve">en </w:t>
      </w:r>
      <w:r w:rsidR="007421F3" w:rsidRPr="00AD2221">
        <w:rPr>
          <w:sz w:val="22"/>
          <w:szCs w:val="22"/>
          <w:lang w:val="es-CL"/>
        </w:rPr>
        <w:t>el diagnóstico técnico.</w:t>
      </w:r>
      <w:r w:rsidR="004271E2" w:rsidRPr="00AD2221">
        <w:rPr>
          <w:sz w:val="22"/>
          <w:szCs w:val="22"/>
          <w:lang w:val="es-CL"/>
        </w:rPr>
        <w:t xml:space="preserve"> E</w:t>
      </w:r>
      <w:r w:rsidR="00105214">
        <w:rPr>
          <w:sz w:val="22"/>
          <w:szCs w:val="22"/>
        </w:rPr>
        <w:t>n este punto e</w:t>
      </w:r>
      <w:r w:rsidR="004271E2" w:rsidRPr="00AD2221">
        <w:rPr>
          <w:sz w:val="22"/>
          <w:szCs w:val="22"/>
          <w:lang w:val="es-CL"/>
        </w:rPr>
        <w:t>s importante comparar la situación</w:t>
      </w:r>
      <w:r w:rsidR="004457A1">
        <w:rPr>
          <w:sz w:val="22"/>
          <w:szCs w:val="22"/>
        </w:rPr>
        <w:t xml:space="preserve"> actual</w:t>
      </w:r>
      <w:r w:rsidR="004271E2" w:rsidRPr="00AD2221">
        <w:rPr>
          <w:sz w:val="22"/>
          <w:szCs w:val="22"/>
          <w:lang w:val="es-CL"/>
        </w:rPr>
        <w:t xml:space="preserve"> del país en temas de clasificación, etiquetado, comunicación de peligros, capacidades técnicas, recursos, entre otros, </w:t>
      </w:r>
      <w:r w:rsidR="004457A1">
        <w:rPr>
          <w:sz w:val="22"/>
          <w:szCs w:val="22"/>
        </w:rPr>
        <w:t xml:space="preserve">con respecto a </w:t>
      </w:r>
      <w:r w:rsidR="004271E2" w:rsidRPr="00AD2221">
        <w:rPr>
          <w:sz w:val="22"/>
          <w:szCs w:val="22"/>
          <w:lang w:val="es-CL"/>
        </w:rPr>
        <w:t>la aplicación</w:t>
      </w:r>
      <w:r w:rsidR="004457A1">
        <w:rPr>
          <w:sz w:val="22"/>
          <w:szCs w:val="22"/>
        </w:rPr>
        <w:t>eficiente</w:t>
      </w:r>
      <w:r w:rsidR="004271E2" w:rsidRPr="00AD2221">
        <w:rPr>
          <w:sz w:val="22"/>
          <w:szCs w:val="22"/>
          <w:lang w:val="es-CL"/>
        </w:rPr>
        <w:t xml:space="preserve"> del GHS.</w:t>
      </w:r>
    </w:p>
    <w:p w:rsidR="00F71686" w:rsidRPr="00DE0C89" w:rsidRDefault="00F71686" w:rsidP="00872364">
      <w:pPr>
        <w:pStyle w:val="Heading3"/>
        <w:spacing w:after="180" w:line="264" w:lineRule="auto"/>
        <w:ind w:left="0" w:firstLine="0"/>
      </w:pPr>
      <w:bookmarkStart w:id="103" w:name="_Toc418168900"/>
      <w:r w:rsidRPr="00DE0C89">
        <w:t>Gobierno</w:t>
      </w:r>
      <w:bookmarkEnd w:id="103"/>
    </w:p>
    <w:p w:rsidR="006F2094" w:rsidRPr="00DE0C89" w:rsidRDefault="00F71686" w:rsidP="00606EAC">
      <w:pPr>
        <w:jc w:val="both"/>
        <w:rPr>
          <w:sz w:val="22"/>
          <w:szCs w:val="22"/>
        </w:rPr>
      </w:pPr>
      <w:r w:rsidRPr="00DE0C89">
        <w:rPr>
          <w:sz w:val="22"/>
          <w:szCs w:val="22"/>
        </w:rPr>
        <w:t>En este sector es relevante analizar si son suficientes las responsabilidades y programas ministeriales</w:t>
      </w:r>
      <w:r w:rsidR="006F2094" w:rsidRPr="00DE0C89">
        <w:rPr>
          <w:sz w:val="22"/>
          <w:szCs w:val="22"/>
        </w:rPr>
        <w:t xml:space="preserve"> para ofrecer una comunicación efectiva de los peligros químicos</w:t>
      </w:r>
      <w:r w:rsidR="004271E2" w:rsidRPr="00DE0C89">
        <w:rPr>
          <w:sz w:val="22"/>
          <w:szCs w:val="22"/>
        </w:rPr>
        <w:t xml:space="preserve"> en el país con respecto a las disposiciones del GHS.</w:t>
      </w:r>
    </w:p>
    <w:p w:rsidR="00D50F2C" w:rsidRDefault="006D1F44" w:rsidP="00606EAC">
      <w:pPr>
        <w:autoSpaceDE w:val="0"/>
        <w:autoSpaceDN w:val="0"/>
        <w:adjustRightInd w:val="0"/>
        <w:jc w:val="both"/>
        <w:rPr>
          <w:sz w:val="22"/>
          <w:szCs w:val="22"/>
        </w:rPr>
      </w:pPr>
      <w:r>
        <w:rPr>
          <w:sz w:val="22"/>
          <w:szCs w:val="22"/>
        </w:rPr>
        <w:t>E</w:t>
      </w:r>
      <w:r w:rsidR="00FD439B" w:rsidRPr="00DE0C89">
        <w:rPr>
          <w:sz w:val="22"/>
          <w:szCs w:val="22"/>
        </w:rPr>
        <w:t>s importante analizar en este punto</w:t>
      </w:r>
      <w:r w:rsidR="00D50F2C">
        <w:rPr>
          <w:sz w:val="22"/>
          <w:szCs w:val="22"/>
        </w:rPr>
        <w:t>, primeramente,</w:t>
      </w:r>
      <w:r w:rsidR="00FD439B" w:rsidRPr="00DE0C89">
        <w:rPr>
          <w:sz w:val="22"/>
          <w:szCs w:val="22"/>
        </w:rPr>
        <w:t xml:space="preserve"> la conformación que actualmente tiene el Comité Coordinador. A pesar que se han realizado numerosos esfuerzos para integrar a la Sociedad Civil en el proceso de implementación, por ejemplo</w:t>
      </w:r>
      <w:r>
        <w:rPr>
          <w:sz w:val="22"/>
          <w:szCs w:val="22"/>
        </w:rPr>
        <w:t>,</w:t>
      </w:r>
      <w:r w:rsidR="00FD439B" w:rsidRPr="00DE0C89">
        <w:rPr>
          <w:sz w:val="22"/>
          <w:szCs w:val="22"/>
        </w:rPr>
        <w:t xml:space="preserve"> </w:t>
      </w:r>
      <w:r w:rsidR="00A1772E" w:rsidRPr="00DE0C89">
        <w:rPr>
          <w:sz w:val="22"/>
          <w:szCs w:val="22"/>
        </w:rPr>
        <w:t>a través de</w:t>
      </w:r>
      <w:r w:rsidR="0072346B" w:rsidRPr="00DE0C89">
        <w:rPr>
          <w:sz w:val="22"/>
          <w:szCs w:val="22"/>
        </w:rPr>
        <w:t xml:space="preserve"> un</w:t>
      </w:r>
      <w:r w:rsidR="00A1772E" w:rsidRPr="00DE0C89">
        <w:rPr>
          <w:sz w:val="22"/>
          <w:szCs w:val="22"/>
        </w:rPr>
        <w:t xml:space="preserve"> </w:t>
      </w:r>
      <w:r w:rsidR="00FD439B" w:rsidRPr="00DE0C89">
        <w:rPr>
          <w:sz w:val="22"/>
          <w:szCs w:val="22"/>
        </w:rPr>
        <w:t>Taller de difusión para el sector y convocatorias específicas a posibles grupos interesados</w:t>
      </w:r>
      <w:r w:rsidR="0072346B" w:rsidRPr="00DE0C89">
        <w:rPr>
          <w:sz w:val="22"/>
          <w:szCs w:val="22"/>
        </w:rPr>
        <w:t xml:space="preserve"> en participar</w:t>
      </w:r>
      <w:r w:rsidR="00FD439B" w:rsidRPr="00DE0C89">
        <w:rPr>
          <w:sz w:val="22"/>
          <w:szCs w:val="22"/>
        </w:rPr>
        <w:t>, no se ha logrado respuesta</w:t>
      </w:r>
      <w:r w:rsidR="0072346B" w:rsidRPr="00DE0C89">
        <w:rPr>
          <w:sz w:val="22"/>
          <w:szCs w:val="22"/>
        </w:rPr>
        <w:t xml:space="preserve"> o disposición</w:t>
      </w:r>
      <w:r w:rsidR="00FD439B" w:rsidRPr="00DE0C89">
        <w:rPr>
          <w:sz w:val="22"/>
          <w:szCs w:val="22"/>
        </w:rPr>
        <w:t xml:space="preserve"> para integrar el Comité por parte de ningún representante de ella. Esto se debe principalmente a que las ONGs existentes en el país están abocadas a temas específicos y no manifiestan interés en el tema de un nuevo sistema de clasificación y comunicación de peligros químicos</w:t>
      </w:r>
      <w:r w:rsidR="00265334" w:rsidRPr="00DE0C89">
        <w:rPr>
          <w:sz w:val="22"/>
          <w:szCs w:val="22"/>
        </w:rPr>
        <w:t>, sin embargo, la participación de todos los actores involucrados en la gestión segura de sustancias químicas es fundamental para la creación de capacidades y aplicación del GHS. Por otra parte, no se ha realizado un análisis sobre el cumplimiento de los Términos de Referencia por parte de los integrantes del Comité, actividad que sería relevante para una posible red</w:t>
      </w:r>
      <w:r w:rsidR="00E61751">
        <w:rPr>
          <w:sz w:val="22"/>
          <w:szCs w:val="22"/>
        </w:rPr>
        <w:t>efinición de responsabilidades con el fin de</w:t>
      </w:r>
      <w:r w:rsidR="00265334" w:rsidRPr="00DE0C89">
        <w:rPr>
          <w:sz w:val="22"/>
          <w:szCs w:val="22"/>
        </w:rPr>
        <w:t xml:space="preserve"> asegurar </w:t>
      </w:r>
      <w:r w:rsidR="00242510" w:rsidRPr="00DE0C89">
        <w:rPr>
          <w:sz w:val="22"/>
          <w:szCs w:val="22"/>
        </w:rPr>
        <w:t>una</w:t>
      </w:r>
      <w:r w:rsidR="00265334" w:rsidRPr="00DE0C89">
        <w:rPr>
          <w:sz w:val="22"/>
          <w:szCs w:val="22"/>
        </w:rPr>
        <w:t xml:space="preserve"> participación activa y comprometida de </w:t>
      </w:r>
      <w:r w:rsidR="00242510" w:rsidRPr="00DE0C89">
        <w:rPr>
          <w:sz w:val="22"/>
          <w:szCs w:val="22"/>
        </w:rPr>
        <w:t>los miembros del Comité durante</w:t>
      </w:r>
      <w:r w:rsidR="009D32C9" w:rsidRPr="00DE0C89">
        <w:rPr>
          <w:sz w:val="22"/>
          <w:szCs w:val="22"/>
        </w:rPr>
        <w:t xml:space="preserve"> la etapa posterior</w:t>
      </w:r>
      <w:r w:rsidR="00E61751">
        <w:rPr>
          <w:sz w:val="22"/>
          <w:szCs w:val="22"/>
        </w:rPr>
        <w:t xml:space="preserve"> correspondiente a</w:t>
      </w:r>
      <w:r w:rsidR="009D32C9" w:rsidRPr="00DE0C89">
        <w:rPr>
          <w:sz w:val="22"/>
          <w:szCs w:val="22"/>
        </w:rPr>
        <w:t xml:space="preserve"> l</w:t>
      </w:r>
      <w:r w:rsidR="00242510" w:rsidRPr="00DE0C89">
        <w:rPr>
          <w:sz w:val="22"/>
          <w:szCs w:val="22"/>
        </w:rPr>
        <w:t>a implementación propiamente tal del GHS en el país.</w:t>
      </w:r>
      <w:r w:rsidR="00E61751">
        <w:rPr>
          <w:sz w:val="22"/>
          <w:szCs w:val="22"/>
        </w:rPr>
        <w:t xml:space="preserve"> </w:t>
      </w:r>
    </w:p>
    <w:p w:rsidR="00430929" w:rsidRPr="00131F92" w:rsidRDefault="00DC6433" w:rsidP="00836388">
      <w:pPr>
        <w:autoSpaceDE w:val="0"/>
        <w:autoSpaceDN w:val="0"/>
        <w:adjustRightInd w:val="0"/>
        <w:jc w:val="both"/>
        <w:rPr>
          <w:sz w:val="22"/>
          <w:szCs w:val="22"/>
        </w:rPr>
      </w:pPr>
      <w:r>
        <w:rPr>
          <w:sz w:val="22"/>
          <w:szCs w:val="22"/>
        </w:rPr>
        <w:t xml:space="preserve">En el país </w:t>
      </w:r>
      <w:r w:rsidRPr="00DE0C89">
        <w:rPr>
          <w:sz w:val="22"/>
          <w:szCs w:val="22"/>
        </w:rPr>
        <w:t>existen</w:t>
      </w:r>
      <w:r w:rsidR="00AA4941" w:rsidRPr="00DE0C89">
        <w:rPr>
          <w:sz w:val="22"/>
          <w:szCs w:val="22"/>
        </w:rPr>
        <w:t xml:space="preserve"> diversos ministerios del gobierno que realizan actividades reguladoras, de fiscalización y control,</w:t>
      </w:r>
      <w:r w:rsidR="00131F92">
        <w:rPr>
          <w:sz w:val="22"/>
          <w:szCs w:val="22"/>
        </w:rPr>
        <w:t xml:space="preserve"> como se detalló en el Análisis de Situación,</w:t>
      </w:r>
      <w:r w:rsidR="00AA4941" w:rsidRPr="00DE0C89">
        <w:rPr>
          <w:sz w:val="22"/>
          <w:szCs w:val="22"/>
        </w:rPr>
        <w:t xml:space="preserve"> las que se efectúan en forma </w:t>
      </w:r>
      <w:r w:rsidR="00471B28" w:rsidRPr="00DE0C89">
        <w:rPr>
          <w:sz w:val="22"/>
          <w:szCs w:val="22"/>
        </w:rPr>
        <w:t>separada</w:t>
      </w:r>
      <w:r w:rsidR="00AA4941" w:rsidRPr="00DE0C89">
        <w:rPr>
          <w:sz w:val="22"/>
          <w:szCs w:val="22"/>
        </w:rPr>
        <w:t xml:space="preserve"> puesto que estas instituciones públicas</w:t>
      </w:r>
      <w:r w:rsidR="007E2C10" w:rsidRPr="00DE0C89">
        <w:rPr>
          <w:sz w:val="22"/>
          <w:szCs w:val="22"/>
        </w:rPr>
        <w:t xml:space="preserve"> participan en la gestión de sustancias químicas desde una perspectiva sectorial, </w:t>
      </w:r>
      <w:r w:rsidR="00A97D71" w:rsidRPr="003E4AD0">
        <w:rPr>
          <w:sz w:val="22"/>
          <w:szCs w:val="22"/>
        </w:rPr>
        <w:t>encontrándose</w:t>
      </w:r>
      <w:r w:rsidR="007E2C10" w:rsidRPr="003E4AD0">
        <w:rPr>
          <w:sz w:val="22"/>
          <w:szCs w:val="22"/>
        </w:rPr>
        <w:t xml:space="preserve"> definidas las responsabilidades</w:t>
      </w:r>
      <w:r w:rsidR="00131F92">
        <w:rPr>
          <w:sz w:val="22"/>
          <w:szCs w:val="22"/>
        </w:rPr>
        <w:t xml:space="preserve"> y funciones</w:t>
      </w:r>
      <w:r w:rsidR="007E2C10" w:rsidRPr="003E4AD0">
        <w:rPr>
          <w:sz w:val="22"/>
          <w:szCs w:val="22"/>
        </w:rPr>
        <w:t xml:space="preserve"> de cada institución y sector. </w:t>
      </w:r>
      <w:r w:rsidR="00131F92">
        <w:rPr>
          <w:sz w:val="22"/>
          <w:szCs w:val="22"/>
        </w:rPr>
        <w:t>En base a esto, se considera que existe una división de responsabilidades ministeriales que facilitaría la implementación del GHS en cada sector.</w:t>
      </w:r>
    </w:p>
    <w:p w:rsidR="00CB0046" w:rsidRPr="00173FFF" w:rsidRDefault="001B6551" w:rsidP="00131F92">
      <w:pPr>
        <w:pStyle w:val="CommentText"/>
        <w:spacing w:line="264" w:lineRule="auto"/>
        <w:jc w:val="both"/>
        <w:rPr>
          <w:b/>
          <w:sz w:val="22"/>
          <w:szCs w:val="22"/>
        </w:rPr>
      </w:pPr>
      <w:r w:rsidRPr="003E4AD0">
        <w:rPr>
          <w:sz w:val="22"/>
          <w:szCs w:val="22"/>
        </w:rPr>
        <w:t xml:space="preserve">En </w:t>
      </w:r>
      <w:r w:rsidR="00B72F73" w:rsidRPr="003E4AD0">
        <w:rPr>
          <w:sz w:val="22"/>
          <w:szCs w:val="22"/>
        </w:rPr>
        <w:t xml:space="preserve">relación </w:t>
      </w:r>
      <w:r w:rsidRPr="003E4AD0">
        <w:rPr>
          <w:sz w:val="22"/>
          <w:szCs w:val="22"/>
        </w:rPr>
        <w:t xml:space="preserve">al conocimiento del personal de gobierno sobre aspectos legales y técnicos </w:t>
      </w:r>
      <w:r w:rsidR="00C62568" w:rsidRPr="003E4AD0">
        <w:rPr>
          <w:sz w:val="22"/>
          <w:szCs w:val="22"/>
        </w:rPr>
        <w:t>del nuevo sistema GHS</w:t>
      </w:r>
      <w:r w:rsidRPr="003E4AD0">
        <w:rPr>
          <w:sz w:val="22"/>
          <w:szCs w:val="22"/>
        </w:rPr>
        <w:t>, se han desarrollado Talleres de capacitación básico y avanzado para representantes</w:t>
      </w:r>
      <w:r w:rsidR="00F455F2" w:rsidRPr="003E4AD0">
        <w:rPr>
          <w:sz w:val="22"/>
          <w:szCs w:val="22"/>
        </w:rPr>
        <w:t xml:space="preserve"> de las instituciones públicas, </w:t>
      </w:r>
      <w:r w:rsidRPr="003E4AD0">
        <w:rPr>
          <w:sz w:val="22"/>
          <w:szCs w:val="22"/>
        </w:rPr>
        <w:t xml:space="preserve">sin embargo, el grupo abarcado (aproximadamente 100 personas) representa un porcentaje pequeño, por lo que se observan deficiencias en temas de formación </w:t>
      </w:r>
      <w:r w:rsidR="00DC6433">
        <w:rPr>
          <w:sz w:val="22"/>
          <w:szCs w:val="22"/>
        </w:rPr>
        <w:t xml:space="preserve">y sensibilización </w:t>
      </w:r>
      <w:r w:rsidRPr="003E4AD0">
        <w:rPr>
          <w:sz w:val="22"/>
          <w:szCs w:val="22"/>
        </w:rPr>
        <w:t>de</w:t>
      </w:r>
      <w:r w:rsidR="00DC6433">
        <w:rPr>
          <w:sz w:val="22"/>
          <w:szCs w:val="22"/>
        </w:rPr>
        <w:t>l</w:t>
      </w:r>
      <w:r w:rsidRPr="003E4AD0">
        <w:rPr>
          <w:sz w:val="22"/>
          <w:szCs w:val="22"/>
        </w:rPr>
        <w:t xml:space="preserve"> personal para apoyar la implementación</w:t>
      </w:r>
      <w:r w:rsidR="003E4AD0" w:rsidRPr="003E4AD0">
        <w:rPr>
          <w:sz w:val="22"/>
          <w:szCs w:val="22"/>
        </w:rPr>
        <w:t>. En menor medida, los organismos reguladores también presentan deficiencias pero existe un nivel mayor de conocimiento para</w:t>
      </w:r>
      <w:r w:rsidR="00A32BBA">
        <w:rPr>
          <w:sz w:val="22"/>
          <w:szCs w:val="22"/>
        </w:rPr>
        <w:t xml:space="preserve"> fiscalizar, sin embargo, dado que la implementación del GHS está en desarrollo, un grupo importante presenta mayor desconocimiento sobre las implicancias y cambios que acarreará este nuevo sistema de clasificación.</w:t>
      </w:r>
      <w:r w:rsidR="00471B28" w:rsidRPr="003E4AD0">
        <w:rPr>
          <w:sz w:val="22"/>
          <w:szCs w:val="22"/>
        </w:rPr>
        <w:t xml:space="preserve"> </w:t>
      </w:r>
      <w:r w:rsidR="00131F92">
        <w:rPr>
          <w:sz w:val="22"/>
          <w:szCs w:val="22"/>
        </w:rPr>
        <w:t>Por otro lado, l</w:t>
      </w:r>
      <w:r w:rsidR="00CB0046" w:rsidRPr="00173FFF">
        <w:rPr>
          <w:sz w:val="22"/>
          <w:szCs w:val="22"/>
        </w:rPr>
        <w:t>as capacidades para la clasificación de productos químicos son escasas</w:t>
      </w:r>
      <w:r w:rsidR="00131F92">
        <w:rPr>
          <w:sz w:val="22"/>
          <w:szCs w:val="22"/>
        </w:rPr>
        <w:t xml:space="preserve"> en este sector</w:t>
      </w:r>
      <w:r w:rsidR="00CB0046" w:rsidRPr="00173FFF">
        <w:rPr>
          <w:sz w:val="22"/>
          <w:szCs w:val="22"/>
        </w:rPr>
        <w:t xml:space="preserve"> dado que el principal responsable de esto son las propias industrias productoras de sustancias químicas.</w:t>
      </w:r>
    </w:p>
    <w:p w:rsidR="00BB2C62" w:rsidRPr="00173FFF" w:rsidRDefault="001B6551" w:rsidP="00606EAC">
      <w:pPr>
        <w:autoSpaceDE w:val="0"/>
        <w:autoSpaceDN w:val="0"/>
        <w:adjustRightInd w:val="0"/>
        <w:jc w:val="both"/>
        <w:rPr>
          <w:sz w:val="22"/>
          <w:szCs w:val="22"/>
        </w:rPr>
      </w:pPr>
      <w:r w:rsidRPr="00173FFF">
        <w:rPr>
          <w:sz w:val="22"/>
          <w:szCs w:val="22"/>
        </w:rPr>
        <w:t xml:space="preserve">En el tema de presupuesto, </w:t>
      </w:r>
      <w:r w:rsidR="00D440A7" w:rsidRPr="00173FFF">
        <w:rPr>
          <w:sz w:val="22"/>
          <w:szCs w:val="22"/>
        </w:rPr>
        <w:t xml:space="preserve">a la fecha sólo existe presupuesto destinado al proceso </w:t>
      </w:r>
      <w:r w:rsidR="00931C04" w:rsidRPr="00173FFF">
        <w:rPr>
          <w:sz w:val="22"/>
          <w:szCs w:val="22"/>
        </w:rPr>
        <w:t xml:space="preserve">de elaborar la estrategia de implementación del GHS </w:t>
      </w:r>
      <w:r w:rsidR="00D440A7" w:rsidRPr="00173FFF">
        <w:rPr>
          <w:sz w:val="22"/>
          <w:szCs w:val="22"/>
        </w:rPr>
        <w:t>y que incluye</w:t>
      </w:r>
      <w:r w:rsidR="00A94CDF" w:rsidRPr="00173FFF">
        <w:rPr>
          <w:sz w:val="22"/>
          <w:szCs w:val="22"/>
        </w:rPr>
        <w:t xml:space="preserve"> </w:t>
      </w:r>
      <w:r w:rsidR="00D440A7" w:rsidRPr="00173FFF">
        <w:rPr>
          <w:sz w:val="22"/>
          <w:szCs w:val="22"/>
        </w:rPr>
        <w:t>actividades de capacitación, actividades de sensibilización, entre otras. Sin embargo, no se han asignado recursos a cada sector involucrado para cuando la implementación esté siendo llevada a cabo.</w:t>
      </w:r>
      <w:r w:rsidR="003822DE" w:rsidRPr="00173FFF">
        <w:rPr>
          <w:sz w:val="22"/>
          <w:szCs w:val="22"/>
        </w:rPr>
        <w:t xml:space="preserve"> </w:t>
      </w:r>
      <w:r w:rsidR="00D440A7" w:rsidRPr="00173FFF">
        <w:rPr>
          <w:sz w:val="22"/>
          <w:szCs w:val="22"/>
        </w:rPr>
        <w:t xml:space="preserve">El grado de asignación de recursos de parte del gobierno es de vital importancia, desde </w:t>
      </w:r>
      <w:r w:rsidR="003957A0" w:rsidRPr="00173FFF">
        <w:rPr>
          <w:sz w:val="22"/>
          <w:szCs w:val="22"/>
        </w:rPr>
        <w:t xml:space="preserve">los </w:t>
      </w:r>
      <w:r w:rsidR="00D440A7" w:rsidRPr="00173FFF">
        <w:rPr>
          <w:sz w:val="22"/>
          <w:szCs w:val="22"/>
        </w:rPr>
        <w:t>recursos para realizar las reformas legales para la implementación del GHS</w:t>
      </w:r>
      <w:r w:rsidR="003957A0" w:rsidRPr="00173FFF">
        <w:rPr>
          <w:sz w:val="22"/>
          <w:szCs w:val="22"/>
        </w:rPr>
        <w:t xml:space="preserve">, </w:t>
      </w:r>
      <w:r w:rsidR="00D440A7" w:rsidRPr="00173FFF">
        <w:rPr>
          <w:sz w:val="22"/>
          <w:szCs w:val="22"/>
        </w:rPr>
        <w:t xml:space="preserve">que en caso de no existir pueden frenar de entrada la aplicación del </w:t>
      </w:r>
      <w:r w:rsidR="003957A0" w:rsidRPr="00173FFF">
        <w:rPr>
          <w:sz w:val="22"/>
          <w:szCs w:val="22"/>
        </w:rPr>
        <w:t xml:space="preserve">sistema, </w:t>
      </w:r>
      <w:r w:rsidR="003822DE" w:rsidRPr="00173FFF">
        <w:rPr>
          <w:sz w:val="22"/>
          <w:szCs w:val="22"/>
        </w:rPr>
        <w:t xml:space="preserve">hasta </w:t>
      </w:r>
      <w:r w:rsidR="00D440A7" w:rsidRPr="00173FFF">
        <w:rPr>
          <w:sz w:val="22"/>
          <w:szCs w:val="22"/>
        </w:rPr>
        <w:t>recursos para realizar los cambios y fiscalización en temas de clasificación (nuevos estudios, registros)</w:t>
      </w:r>
      <w:r w:rsidR="0041713F" w:rsidRPr="00173FFF">
        <w:rPr>
          <w:sz w:val="22"/>
          <w:szCs w:val="22"/>
        </w:rPr>
        <w:t>.</w:t>
      </w:r>
    </w:p>
    <w:p w:rsidR="00B26C08" w:rsidRPr="00173FFF" w:rsidRDefault="00B26C08" w:rsidP="00606EAC">
      <w:pPr>
        <w:jc w:val="both"/>
        <w:rPr>
          <w:sz w:val="22"/>
          <w:szCs w:val="22"/>
        </w:rPr>
      </w:pPr>
      <w:r w:rsidRPr="00173FFF">
        <w:rPr>
          <w:sz w:val="22"/>
          <w:szCs w:val="22"/>
        </w:rPr>
        <w:t xml:space="preserve">En </w:t>
      </w:r>
      <w:r w:rsidR="00E91371" w:rsidRPr="00173FFF">
        <w:rPr>
          <w:sz w:val="22"/>
          <w:szCs w:val="22"/>
        </w:rPr>
        <w:t>el</w:t>
      </w:r>
      <w:r w:rsidRPr="00173FFF">
        <w:rPr>
          <w:sz w:val="22"/>
          <w:szCs w:val="22"/>
        </w:rPr>
        <w:t xml:space="preserve"> tema de</w:t>
      </w:r>
      <w:r w:rsidR="00FA5CC3" w:rsidRPr="00173FFF">
        <w:rPr>
          <w:sz w:val="22"/>
          <w:szCs w:val="22"/>
        </w:rPr>
        <w:t xml:space="preserve"> fiscalización, es muy difícil qu</w:t>
      </w:r>
      <w:r w:rsidRPr="00173FFF">
        <w:rPr>
          <w:sz w:val="22"/>
          <w:szCs w:val="22"/>
        </w:rPr>
        <w:t xml:space="preserve">e cualquier gobierno cuente con la capacidad suficiente para facilitar el cumplimiento de las normativas relacionadas con la comunicación de peligros según GHS, debido principalmente, a la alta inversión </w:t>
      </w:r>
      <w:r w:rsidR="00BB3DF9" w:rsidRPr="00173FFF">
        <w:rPr>
          <w:sz w:val="22"/>
          <w:szCs w:val="22"/>
        </w:rPr>
        <w:t>en</w:t>
      </w:r>
      <w:r w:rsidRPr="00173FFF">
        <w:rPr>
          <w:sz w:val="22"/>
          <w:szCs w:val="22"/>
        </w:rPr>
        <w:t xml:space="preserve"> dinero y tiempo que es necesario realizar, primero, en capacitar al personal técnico y</w:t>
      </w:r>
      <w:r w:rsidR="00BB3DF9" w:rsidRPr="00173FFF">
        <w:rPr>
          <w:sz w:val="22"/>
          <w:szCs w:val="22"/>
        </w:rPr>
        <w:t xml:space="preserve"> luego</w:t>
      </w:r>
      <w:r w:rsidRPr="00173FFF">
        <w:rPr>
          <w:sz w:val="22"/>
          <w:szCs w:val="22"/>
        </w:rPr>
        <w:t xml:space="preserve"> para establecer programas de fiscalización permanentes.</w:t>
      </w:r>
      <w:r w:rsidR="00067C91" w:rsidRPr="00173FFF">
        <w:rPr>
          <w:sz w:val="22"/>
          <w:szCs w:val="22"/>
        </w:rPr>
        <w:t xml:space="preserve"> Es por esto que a pesar que existen las competencias para fiscalizar en cada organismo gubernamental, se evidencian falencias en las capacidades técnicas de este sector en lo referido al sistema GHS, sobre todo en los peligros sobre la salud y medioambiente.</w:t>
      </w:r>
    </w:p>
    <w:p w:rsidR="004843F2" w:rsidRPr="00173FFF" w:rsidRDefault="00AD31F6" w:rsidP="00606EAC">
      <w:pPr>
        <w:jc w:val="both"/>
        <w:rPr>
          <w:color w:val="0070C0"/>
          <w:sz w:val="22"/>
          <w:szCs w:val="22"/>
        </w:rPr>
      </w:pPr>
      <w:r w:rsidRPr="00173FFF">
        <w:rPr>
          <w:sz w:val="22"/>
          <w:szCs w:val="22"/>
        </w:rPr>
        <w:t xml:space="preserve">Por último, </w:t>
      </w:r>
      <w:r w:rsidR="007D64DC" w:rsidRPr="00173FFF">
        <w:rPr>
          <w:sz w:val="22"/>
          <w:szCs w:val="22"/>
        </w:rPr>
        <w:t>o</w:t>
      </w:r>
      <w:r w:rsidR="00563041" w:rsidRPr="00173FFF">
        <w:rPr>
          <w:sz w:val="22"/>
          <w:szCs w:val="22"/>
        </w:rPr>
        <w:t xml:space="preserve">tra deficiencia importante es la falta de inventarios </w:t>
      </w:r>
      <w:r w:rsidR="00FA5CC3" w:rsidRPr="00173FFF">
        <w:rPr>
          <w:sz w:val="22"/>
          <w:szCs w:val="22"/>
        </w:rPr>
        <w:t xml:space="preserve">y/o registros </w:t>
      </w:r>
      <w:r w:rsidR="00563041" w:rsidRPr="00173FFF">
        <w:rPr>
          <w:sz w:val="22"/>
          <w:szCs w:val="22"/>
        </w:rPr>
        <w:t>de las sustancias quí</w:t>
      </w:r>
      <w:r w:rsidR="004843F2" w:rsidRPr="00173FFF">
        <w:rPr>
          <w:sz w:val="22"/>
          <w:szCs w:val="22"/>
        </w:rPr>
        <w:t xml:space="preserve">micas que se manejan en el país </w:t>
      </w:r>
      <w:r w:rsidR="006A797E" w:rsidRPr="00173FFF">
        <w:rPr>
          <w:sz w:val="22"/>
          <w:szCs w:val="22"/>
        </w:rPr>
        <w:t>de acuerdo a la normativa actual, existiendo sólo regist</w:t>
      </w:r>
      <w:r w:rsidR="004843F2" w:rsidRPr="00173FFF">
        <w:rPr>
          <w:sz w:val="22"/>
          <w:szCs w:val="22"/>
        </w:rPr>
        <w:t>ro de</w:t>
      </w:r>
      <w:r w:rsidR="006A797E" w:rsidRPr="00173FFF">
        <w:rPr>
          <w:sz w:val="22"/>
          <w:szCs w:val="22"/>
        </w:rPr>
        <w:t xml:space="preserve"> los plaguicidas de uso agrícola (SAG) y de uso doméstico y sanitario</w:t>
      </w:r>
      <w:r w:rsidR="00E25AB2">
        <w:rPr>
          <w:sz w:val="22"/>
          <w:szCs w:val="22"/>
        </w:rPr>
        <w:t>, incluidos los desinfectantes</w:t>
      </w:r>
      <w:r w:rsidR="006A797E" w:rsidRPr="00173FFF">
        <w:rPr>
          <w:sz w:val="22"/>
          <w:szCs w:val="22"/>
        </w:rPr>
        <w:t xml:space="preserve"> (ISP). La ausencia de </w:t>
      </w:r>
      <w:r w:rsidR="004843F2" w:rsidRPr="00173FFF">
        <w:rPr>
          <w:sz w:val="22"/>
          <w:szCs w:val="22"/>
        </w:rPr>
        <w:t xml:space="preserve">inventarios y/o </w:t>
      </w:r>
      <w:r w:rsidR="006A797E" w:rsidRPr="00173FFF">
        <w:rPr>
          <w:sz w:val="22"/>
          <w:szCs w:val="22"/>
        </w:rPr>
        <w:t>registros impide identificar cuáles son las sustancias químicas que circulan en el país (información estadística) y con ello conocer cuáles cuentan con clasificación GHS (mayoritariamente</w:t>
      </w:r>
      <w:r w:rsidR="00BC1745" w:rsidRPr="00173FFF">
        <w:rPr>
          <w:sz w:val="22"/>
          <w:szCs w:val="22"/>
        </w:rPr>
        <w:t xml:space="preserve"> las</w:t>
      </w:r>
      <w:r w:rsidR="006A797E" w:rsidRPr="00173FFF">
        <w:rPr>
          <w:sz w:val="22"/>
          <w:szCs w:val="22"/>
        </w:rPr>
        <w:t xml:space="preserve"> importadas) y cuáles y cu</w:t>
      </w:r>
      <w:r w:rsidR="002408DB" w:rsidRPr="00173FFF">
        <w:rPr>
          <w:sz w:val="22"/>
          <w:szCs w:val="22"/>
        </w:rPr>
        <w:t>ántas</w:t>
      </w:r>
      <w:r w:rsidR="00971D8F" w:rsidRPr="00173FFF">
        <w:rPr>
          <w:sz w:val="22"/>
          <w:szCs w:val="22"/>
        </w:rPr>
        <w:t xml:space="preserve"> </w:t>
      </w:r>
      <w:r w:rsidR="00563041" w:rsidRPr="00173FFF">
        <w:rPr>
          <w:sz w:val="22"/>
          <w:szCs w:val="22"/>
        </w:rPr>
        <w:t>deberí</w:t>
      </w:r>
      <w:r w:rsidR="006A797E" w:rsidRPr="00173FFF">
        <w:rPr>
          <w:sz w:val="22"/>
          <w:szCs w:val="22"/>
        </w:rPr>
        <w:t>an ser clasificadas en el país</w:t>
      </w:r>
      <w:r w:rsidR="002408DB" w:rsidRPr="00173FFF">
        <w:rPr>
          <w:sz w:val="22"/>
          <w:szCs w:val="22"/>
        </w:rPr>
        <w:t xml:space="preserve">, así </w:t>
      </w:r>
      <w:r w:rsidR="004843F2" w:rsidRPr="00173FFF">
        <w:rPr>
          <w:sz w:val="22"/>
          <w:szCs w:val="22"/>
        </w:rPr>
        <w:t>también</w:t>
      </w:r>
      <w:r w:rsidR="002408DB" w:rsidRPr="00173FFF">
        <w:rPr>
          <w:sz w:val="22"/>
          <w:szCs w:val="22"/>
        </w:rPr>
        <w:t>,</w:t>
      </w:r>
      <w:r w:rsidR="004843F2" w:rsidRPr="00173FFF">
        <w:rPr>
          <w:sz w:val="22"/>
          <w:szCs w:val="22"/>
        </w:rPr>
        <w:t xml:space="preserve"> fundamentar la decisión sobre</w:t>
      </w:r>
      <w:r w:rsidR="002408DB" w:rsidRPr="00173FFF">
        <w:rPr>
          <w:sz w:val="22"/>
          <w:szCs w:val="22"/>
        </w:rPr>
        <w:t xml:space="preserve"> </w:t>
      </w:r>
      <w:r w:rsidR="004843F2" w:rsidRPr="00173FFF">
        <w:rPr>
          <w:sz w:val="22"/>
          <w:szCs w:val="22"/>
        </w:rPr>
        <w:t>d</w:t>
      </w:r>
      <w:r w:rsidR="00173FFF">
        <w:rPr>
          <w:sz w:val="22"/>
          <w:szCs w:val="22"/>
        </w:rPr>
        <w:t>ó</w:t>
      </w:r>
      <w:r w:rsidR="004843F2" w:rsidRPr="00173FFF">
        <w:rPr>
          <w:sz w:val="22"/>
          <w:szCs w:val="22"/>
        </w:rPr>
        <w:t>nde se deberían enfocar los esfuerzos para la implementación del GHS (que categorías son factibles y/o necesarias de implementar).</w:t>
      </w:r>
      <w:r w:rsidR="004843F2" w:rsidRPr="00173FFF">
        <w:rPr>
          <w:color w:val="0070C0"/>
          <w:sz w:val="22"/>
          <w:szCs w:val="22"/>
        </w:rPr>
        <w:t xml:space="preserve"> </w:t>
      </w:r>
    </w:p>
    <w:p w:rsidR="00B26C08" w:rsidRPr="00173FFF" w:rsidRDefault="00B26C08" w:rsidP="00872364">
      <w:pPr>
        <w:pStyle w:val="Heading3"/>
        <w:spacing w:after="180" w:line="264" w:lineRule="auto"/>
        <w:ind w:left="0" w:firstLine="0"/>
      </w:pPr>
      <w:bookmarkStart w:id="104" w:name="_Toc418168901"/>
      <w:r w:rsidRPr="00173FFF">
        <w:t>Sector Privado e Industria</w:t>
      </w:r>
      <w:bookmarkEnd w:id="104"/>
    </w:p>
    <w:p w:rsidR="00B26C08" w:rsidRPr="00173FFF" w:rsidRDefault="00B26C08" w:rsidP="00606EAC">
      <w:pPr>
        <w:jc w:val="both"/>
        <w:rPr>
          <w:sz w:val="22"/>
          <w:szCs w:val="22"/>
        </w:rPr>
      </w:pPr>
      <w:r w:rsidRPr="00173FFF">
        <w:rPr>
          <w:sz w:val="22"/>
          <w:szCs w:val="22"/>
        </w:rPr>
        <w:t>Este sector será el principal actor en la implementación en terreno del sistema GHS,</w:t>
      </w:r>
      <w:r w:rsidR="008E44EF" w:rsidRPr="00173FFF">
        <w:rPr>
          <w:sz w:val="22"/>
          <w:szCs w:val="22"/>
        </w:rPr>
        <w:t xml:space="preserve"> ya que tendrá la responsabilidad de aplicar la clasificación y etiquetado de productos en el lugar de trabajo y en todo el ciclo de vida</w:t>
      </w:r>
      <w:r w:rsidR="007368B1">
        <w:rPr>
          <w:sz w:val="22"/>
          <w:szCs w:val="22"/>
        </w:rPr>
        <w:t>,</w:t>
      </w:r>
      <w:r w:rsidRPr="00173FFF">
        <w:rPr>
          <w:sz w:val="22"/>
          <w:szCs w:val="22"/>
        </w:rPr>
        <w:t xml:space="preserve"> por lo que</w:t>
      </w:r>
      <w:r w:rsidR="007368B1">
        <w:rPr>
          <w:sz w:val="22"/>
          <w:szCs w:val="22"/>
        </w:rPr>
        <w:t>,</w:t>
      </w:r>
      <w:r w:rsidR="005C4C05" w:rsidRPr="00173FFF">
        <w:rPr>
          <w:sz w:val="22"/>
          <w:szCs w:val="22"/>
        </w:rPr>
        <w:t xml:space="preserve"> es relevante conocer cuáles son las necesidades en temas de capacidades</w:t>
      </w:r>
      <w:r w:rsidR="002408DB" w:rsidRPr="00173FFF">
        <w:rPr>
          <w:sz w:val="22"/>
          <w:szCs w:val="22"/>
        </w:rPr>
        <w:t xml:space="preserve"> técnicas, analíticas, recursos </w:t>
      </w:r>
      <w:r w:rsidR="005C4C05" w:rsidRPr="00173FFF">
        <w:rPr>
          <w:sz w:val="22"/>
          <w:szCs w:val="22"/>
        </w:rPr>
        <w:t>humanos y materiales.</w:t>
      </w:r>
    </w:p>
    <w:p w:rsidR="002408DB" w:rsidRPr="00173FFF" w:rsidRDefault="007F4C69" w:rsidP="00606EAC">
      <w:pPr>
        <w:jc w:val="both"/>
        <w:rPr>
          <w:sz w:val="22"/>
          <w:szCs w:val="22"/>
        </w:rPr>
      </w:pPr>
      <w:r>
        <w:rPr>
          <w:sz w:val="22"/>
          <w:szCs w:val="22"/>
        </w:rPr>
        <w:t xml:space="preserve">En este sector existe un </w:t>
      </w:r>
      <w:r w:rsidR="0034394F">
        <w:rPr>
          <w:sz w:val="22"/>
          <w:szCs w:val="22"/>
        </w:rPr>
        <w:t xml:space="preserve">grado medio </w:t>
      </w:r>
      <w:r w:rsidR="002408DB" w:rsidRPr="00173FFF">
        <w:rPr>
          <w:sz w:val="22"/>
          <w:szCs w:val="22"/>
        </w:rPr>
        <w:t xml:space="preserve">de sensibilización/concienciación, pues si bien existe información sobre la relevancia de implementar GHS en el país, son principalmente las grandes empresas y multinacionales las que están en mayor conocimiento sobre las disposiciones del GHS, en contraste con las PYMES donde no se observa mayores avances. Lo mismo ocurre con temas de formación sobre el GHS, donde sólo </w:t>
      </w:r>
      <w:r w:rsidR="0076549B" w:rsidRPr="00173FFF">
        <w:rPr>
          <w:sz w:val="22"/>
          <w:szCs w:val="22"/>
        </w:rPr>
        <w:t>se ha abarcado un porcentaje pequeño de empresas en los talleres de formaci</w:t>
      </w:r>
      <w:r w:rsidR="007777B9" w:rsidRPr="00173FFF">
        <w:rPr>
          <w:sz w:val="22"/>
          <w:szCs w:val="22"/>
        </w:rPr>
        <w:t>ón impartidos (Talleres de formación básico y avanzado sobre el GHS), sin embargo, al igual que en el sector Gobierno, no es suficiente aún el número de participantes, además un problema común es la alta rotación de personal que provoca que sea muy difícil lograr capacitar a la totalidad de los trabajadores.</w:t>
      </w:r>
    </w:p>
    <w:p w:rsidR="006F3CD5" w:rsidRPr="00F66FF6" w:rsidRDefault="00673C79" w:rsidP="00606EAC">
      <w:pPr>
        <w:jc w:val="both"/>
        <w:rPr>
          <w:sz w:val="22"/>
          <w:szCs w:val="22"/>
        </w:rPr>
      </w:pPr>
      <w:r w:rsidRPr="00173FFF">
        <w:rPr>
          <w:sz w:val="22"/>
          <w:szCs w:val="22"/>
        </w:rPr>
        <w:t>En cuanto a la capacidad de la industria sobre cómo clasificar los productos químicos</w:t>
      </w:r>
      <w:r w:rsidR="00863FA0" w:rsidRPr="00173FFF">
        <w:rPr>
          <w:sz w:val="22"/>
          <w:szCs w:val="22"/>
        </w:rPr>
        <w:t xml:space="preserve"> y preparar etiquetas</w:t>
      </w:r>
      <w:r w:rsidRPr="00173FFF">
        <w:rPr>
          <w:sz w:val="22"/>
          <w:szCs w:val="22"/>
        </w:rPr>
        <w:t xml:space="preserve"> según el GHS (peligros físicos, a la salud y al medioambiente)</w:t>
      </w:r>
      <w:r w:rsidR="00993690" w:rsidRPr="00173FFF">
        <w:rPr>
          <w:sz w:val="22"/>
          <w:szCs w:val="22"/>
        </w:rPr>
        <w:t xml:space="preserve">, </w:t>
      </w:r>
      <w:r w:rsidR="00863FA0" w:rsidRPr="00173FFF">
        <w:rPr>
          <w:sz w:val="22"/>
          <w:szCs w:val="22"/>
        </w:rPr>
        <w:t>se podría decir que</w:t>
      </w:r>
      <w:r w:rsidR="00B2333F" w:rsidRPr="00173FFF">
        <w:rPr>
          <w:sz w:val="22"/>
          <w:szCs w:val="22"/>
        </w:rPr>
        <w:t xml:space="preserve"> </w:t>
      </w:r>
      <w:r w:rsidR="003460FA" w:rsidRPr="00173FFF">
        <w:rPr>
          <w:sz w:val="22"/>
          <w:szCs w:val="22"/>
        </w:rPr>
        <w:t>existe cierto conocimiento</w:t>
      </w:r>
      <w:r w:rsidR="00E50D39" w:rsidRPr="00173FFF">
        <w:rPr>
          <w:sz w:val="22"/>
          <w:szCs w:val="22"/>
        </w:rPr>
        <w:t xml:space="preserve"> en </w:t>
      </w:r>
      <w:r w:rsidR="00173FFF" w:rsidRPr="00173FFF">
        <w:rPr>
          <w:sz w:val="22"/>
          <w:szCs w:val="22"/>
        </w:rPr>
        <w:t>algunas</w:t>
      </w:r>
      <w:r w:rsidR="00E50D39" w:rsidRPr="00173FFF">
        <w:rPr>
          <w:sz w:val="22"/>
          <w:szCs w:val="22"/>
        </w:rPr>
        <w:t xml:space="preserve"> grandes empresas que han trabajado en el tema de implementación del GHS, </w:t>
      </w:r>
      <w:r w:rsidR="007F4C69">
        <w:rPr>
          <w:sz w:val="22"/>
          <w:szCs w:val="22"/>
        </w:rPr>
        <w:t>pero es muy acotada</w:t>
      </w:r>
      <w:r w:rsidR="00532A19">
        <w:rPr>
          <w:sz w:val="22"/>
          <w:szCs w:val="22"/>
        </w:rPr>
        <w:t xml:space="preserve"> e insuficiente</w:t>
      </w:r>
      <w:r w:rsidR="007F4C69">
        <w:rPr>
          <w:sz w:val="22"/>
          <w:szCs w:val="22"/>
        </w:rPr>
        <w:t xml:space="preserve"> la </w:t>
      </w:r>
      <w:r w:rsidR="00E50D39" w:rsidRPr="00173FFF">
        <w:rPr>
          <w:sz w:val="22"/>
          <w:szCs w:val="22"/>
        </w:rPr>
        <w:t xml:space="preserve">capacidad que existe actualmente en el sector, sobre todo en temas de peligros para la salud. Un punto favorable para el fortalecimiento de estas capacidades radica en el buen grado de </w:t>
      </w:r>
      <w:r w:rsidR="00863FA0" w:rsidRPr="00173FFF">
        <w:rPr>
          <w:sz w:val="22"/>
          <w:szCs w:val="22"/>
        </w:rPr>
        <w:t xml:space="preserve">compatibilidad de este </w:t>
      </w:r>
      <w:r w:rsidR="00E50D39" w:rsidRPr="00173FFF">
        <w:rPr>
          <w:sz w:val="22"/>
          <w:szCs w:val="22"/>
        </w:rPr>
        <w:t xml:space="preserve">nuevo </w:t>
      </w:r>
      <w:r w:rsidR="00863FA0" w:rsidRPr="00173FFF">
        <w:rPr>
          <w:sz w:val="22"/>
          <w:szCs w:val="22"/>
        </w:rPr>
        <w:t>sistema con las herramientas utilizadas actualmente</w:t>
      </w:r>
      <w:r w:rsidR="00932F9B" w:rsidRPr="00173FFF">
        <w:rPr>
          <w:sz w:val="22"/>
          <w:szCs w:val="22"/>
        </w:rPr>
        <w:t xml:space="preserve">, </w:t>
      </w:r>
      <w:r w:rsidR="00441FAB" w:rsidRPr="00173FFF">
        <w:rPr>
          <w:sz w:val="22"/>
          <w:szCs w:val="22"/>
        </w:rPr>
        <w:t xml:space="preserve">por ejemplo, </w:t>
      </w:r>
      <w:r w:rsidR="00932F9B" w:rsidRPr="00173FFF">
        <w:rPr>
          <w:sz w:val="22"/>
          <w:szCs w:val="22"/>
        </w:rPr>
        <w:t>las secciones de información que se incl</w:t>
      </w:r>
      <w:r w:rsidR="00173FFF">
        <w:rPr>
          <w:sz w:val="22"/>
          <w:szCs w:val="22"/>
        </w:rPr>
        <w:t xml:space="preserve">uyen en las hojas de seguridad de acuerdo a la norma </w:t>
      </w:r>
      <w:r w:rsidR="007F41E6" w:rsidRPr="00173FFF">
        <w:rPr>
          <w:sz w:val="22"/>
          <w:szCs w:val="22"/>
        </w:rPr>
        <w:t>NCh</w:t>
      </w:r>
      <w:r w:rsidR="00173FFF">
        <w:rPr>
          <w:sz w:val="22"/>
          <w:szCs w:val="22"/>
        </w:rPr>
        <w:t xml:space="preserve"> 2245</w:t>
      </w:r>
      <w:r w:rsidR="00532A19">
        <w:rPr>
          <w:sz w:val="22"/>
          <w:szCs w:val="22"/>
        </w:rPr>
        <w:t xml:space="preserve"> son bastante similares a las disposiciones del GHS, es m</w:t>
      </w:r>
      <w:r w:rsidR="00BB5246">
        <w:rPr>
          <w:sz w:val="22"/>
          <w:szCs w:val="22"/>
        </w:rPr>
        <w:t>ás,</w:t>
      </w:r>
      <w:r w:rsidR="00532A19">
        <w:rPr>
          <w:sz w:val="22"/>
          <w:szCs w:val="22"/>
        </w:rPr>
        <w:t xml:space="preserve"> la actualización que actualmente se está realizando de esta norma debería </w:t>
      </w:r>
      <w:r w:rsidR="00BB5246">
        <w:rPr>
          <w:sz w:val="22"/>
          <w:szCs w:val="22"/>
        </w:rPr>
        <w:t>dejarla</w:t>
      </w:r>
      <w:r w:rsidR="00532A19">
        <w:rPr>
          <w:sz w:val="22"/>
          <w:szCs w:val="22"/>
        </w:rPr>
        <w:t xml:space="preserve"> alineada con el GHS. En el tema de etiquetado</w:t>
      </w:r>
      <w:r w:rsidR="00F73F64" w:rsidRPr="00173FFF">
        <w:rPr>
          <w:sz w:val="22"/>
          <w:szCs w:val="22"/>
        </w:rPr>
        <w:t xml:space="preserve"> de sustancias peligrosas</w:t>
      </w:r>
      <w:r w:rsidR="00532A19">
        <w:rPr>
          <w:sz w:val="22"/>
          <w:szCs w:val="22"/>
        </w:rPr>
        <w:t>, se registran algunos avances</w:t>
      </w:r>
      <w:r w:rsidR="00BB5246">
        <w:rPr>
          <w:sz w:val="22"/>
          <w:szCs w:val="22"/>
        </w:rPr>
        <w:t xml:space="preserve"> en la implementación del GHS</w:t>
      </w:r>
      <w:r w:rsidR="00532A19">
        <w:rPr>
          <w:sz w:val="22"/>
          <w:szCs w:val="22"/>
        </w:rPr>
        <w:t xml:space="preserve"> pues en la actualización de </w:t>
      </w:r>
      <w:r w:rsidR="00F73F64" w:rsidRPr="00173FFF">
        <w:rPr>
          <w:sz w:val="22"/>
          <w:szCs w:val="22"/>
        </w:rPr>
        <w:t>Decreto Supremo 78</w:t>
      </w:r>
      <w:r w:rsidR="00BB5246">
        <w:rPr>
          <w:sz w:val="22"/>
          <w:szCs w:val="22"/>
        </w:rPr>
        <w:t xml:space="preserve"> se </w:t>
      </w:r>
      <w:r w:rsidR="00851F79">
        <w:rPr>
          <w:sz w:val="22"/>
          <w:szCs w:val="22"/>
        </w:rPr>
        <w:t xml:space="preserve">establece que se acepta la etiqueta del GHS en el almacenamiento o de sustancias peligrosas junto al pictograma </w:t>
      </w:r>
      <w:r w:rsidR="007368B1">
        <w:rPr>
          <w:sz w:val="22"/>
          <w:szCs w:val="22"/>
        </w:rPr>
        <w:t xml:space="preserve">que </w:t>
      </w:r>
      <w:r w:rsidR="00851F79">
        <w:rPr>
          <w:sz w:val="22"/>
          <w:szCs w:val="22"/>
        </w:rPr>
        <w:t>se utiliza actualmente.</w:t>
      </w:r>
      <w:r w:rsidR="00E7622B">
        <w:rPr>
          <w:sz w:val="22"/>
          <w:szCs w:val="22"/>
        </w:rPr>
        <w:t xml:space="preserve"> </w:t>
      </w:r>
      <w:r w:rsidR="00173FFF">
        <w:rPr>
          <w:sz w:val="22"/>
          <w:szCs w:val="22"/>
        </w:rPr>
        <w:t>A</w:t>
      </w:r>
      <w:r w:rsidR="00E7622B">
        <w:rPr>
          <w:sz w:val="22"/>
          <w:szCs w:val="22"/>
        </w:rPr>
        <w:t xml:space="preserve"> pesar de estas circunstancias</w:t>
      </w:r>
      <w:r w:rsidR="00863FA0" w:rsidRPr="00173FFF">
        <w:rPr>
          <w:sz w:val="22"/>
          <w:szCs w:val="22"/>
        </w:rPr>
        <w:t xml:space="preserve">, </w:t>
      </w:r>
      <w:r w:rsidR="00E50D39" w:rsidRPr="00173FFF">
        <w:rPr>
          <w:sz w:val="22"/>
          <w:szCs w:val="22"/>
        </w:rPr>
        <w:t xml:space="preserve">las deficiencias de capacidades son mayores </w:t>
      </w:r>
      <w:r w:rsidR="00863FA0" w:rsidRPr="00173FFF">
        <w:rPr>
          <w:sz w:val="22"/>
          <w:szCs w:val="22"/>
        </w:rPr>
        <w:t xml:space="preserve">en </w:t>
      </w:r>
      <w:r w:rsidR="00E7622B">
        <w:rPr>
          <w:sz w:val="22"/>
          <w:szCs w:val="22"/>
        </w:rPr>
        <w:t xml:space="preserve">aquellas </w:t>
      </w:r>
      <w:r w:rsidR="00863FA0" w:rsidRPr="00173FFF">
        <w:rPr>
          <w:sz w:val="22"/>
          <w:szCs w:val="22"/>
        </w:rPr>
        <w:t>empresas pequeñas (</w:t>
      </w:r>
      <w:r w:rsidR="00E50D39" w:rsidRPr="00173FFF">
        <w:rPr>
          <w:sz w:val="22"/>
          <w:szCs w:val="22"/>
        </w:rPr>
        <w:t>PYMES</w:t>
      </w:r>
      <w:r w:rsidR="00863FA0" w:rsidRPr="00173FFF">
        <w:rPr>
          <w:sz w:val="22"/>
          <w:szCs w:val="22"/>
        </w:rPr>
        <w:t xml:space="preserve">) o distribuidores que no se encuentran familiarizadas </w:t>
      </w:r>
      <w:r w:rsidR="00E50D39" w:rsidRPr="00173FFF">
        <w:rPr>
          <w:sz w:val="22"/>
          <w:szCs w:val="22"/>
        </w:rPr>
        <w:t>con el proceso de clasificación, etiquetado y/o elabor</w:t>
      </w:r>
      <w:r w:rsidR="00F66FF6">
        <w:rPr>
          <w:sz w:val="22"/>
          <w:szCs w:val="22"/>
        </w:rPr>
        <w:t>ación de hojas de seguridad.</w:t>
      </w:r>
    </w:p>
    <w:p w:rsidR="00885365" w:rsidRDefault="007F4C69" w:rsidP="00885365">
      <w:pPr>
        <w:jc w:val="both"/>
        <w:rPr>
          <w:color w:val="222222"/>
          <w:sz w:val="22"/>
          <w:szCs w:val="22"/>
        </w:rPr>
      </w:pPr>
      <w:r>
        <w:rPr>
          <w:sz w:val="22"/>
          <w:szCs w:val="22"/>
        </w:rPr>
        <w:t>La capacidad analítica para la clasificación de productos químicos de acuerdo al GHS es prácticamente nula</w:t>
      </w:r>
      <w:r w:rsidR="00F66FF6">
        <w:rPr>
          <w:sz w:val="22"/>
          <w:szCs w:val="22"/>
        </w:rPr>
        <w:t xml:space="preserve"> en este sector</w:t>
      </w:r>
      <w:r>
        <w:rPr>
          <w:sz w:val="22"/>
          <w:szCs w:val="22"/>
        </w:rPr>
        <w:t xml:space="preserve">, sobre todo en temas de toxicidad </w:t>
      </w:r>
      <w:r w:rsidRPr="000613A6">
        <w:rPr>
          <w:sz w:val="22"/>
          <w:szCs w:val="22"/>
        </w:rPr>
        <w:t xml:space="preserve">a la salud humana y ecotoxicidad, pues en la mayoría de los casos </w:t>
      </w:r>
      <w:r w:rsidR="000613A6" w:rsidRPr="000613A6">
        <w:rPr>
          <w:sz w:val="22"/>
          <w:szCs w:val="22"/>
        </w:rPr>
        <w:t xml:space="preserve">es </w:t>
      </w:r>
      <w:r w:rsidRPr="000613A6">
        <w:rPr>
          <w:sz w:val="22"/>
          <w:szCs w:val="22"/>
        </w:rPr>
        <w:t xml:space="preserve">más conveniente realizar estas pruebas </w:t>
      </w:r>
      <w:r w:rsidR="00885365" w:rsidRPr="000613A6">
        <w:rPr>
          <w:color w:val="222222"/>
          <w:sz w:val="22"/>
          <w:szCs w:val="22"/>
        </w:rPr>
        <w:t xml:space="preserve">en laboratorios externos que implementar los análisis respectivos en el país, </w:t>
      </w:r>
      <w:r w:rsidR="000613A6" w:rsidRPr="000613A6">
        <w:rPr>
          <w:color w:val="222222"/>
          <w:sz w:val="22"/>
          <w:szCs w:val="22"/>
        </w:rPr>
        <w:t>razón por la cual no existe una</w:t>
      </w:r>
      <w:r w:rsidR="00885365" w:rsidRPr="000613A6">
        <w:rPr>
          <w:color w:val="222222"/>
          <w:sz w:val="22"/>
          <w:szCs w:val="22"/>
        </w:rPr>
        <w:t xml:space="preserve"> motivación y/o demanda real para que surja nueva infraestructura especializada. </w:t>
      </w:r>
      <w:r w:rsidR="000613A6" w:rsidRPr="000613A6">
        <w:rPr>
          <w:color w:val="222222"/>
          <w:sz w:val="22"/>
          <w:szCs w:val="22"/>
        </w:rPr>
        <w:t>En el caso en particular de</w:t>
      </w:r>
      <w:r w:rsidR="00885365" w:rsidRPr="000613A6">
        <w:rPr>
          <w:color w:val="222222"/>
          <w:sz w:val="22"/>
          <w:szCs w:val="22"/>
        </w:rPr>
        <w:t xml:space="preserve"> las mezclas o sustancias de composición variable</w:t>
      </w:r>
      <w:r w:rsidR="000613A6" w:rsidRPr="000613A6">
        <w:rPr>
          <w:color w:val="222222"/>
          <w:sz w:val="22"/>
          <w:szCs w:val="22"/>
        </w:rPr>
        <w:t xml:space="preserve"> que se produzcan en el país</w:t>
      </w:r>
      <w:r w:rsidR="00885365" w:rsidRPr="000613A6">
        <w:rPr>
          <w:color w:val="222222"/>
          <w:sz w:val="22"/>
          <w:szCs w:val="22"/>
        </w:rPr>
        <w:t xml:space="preserve"> (por ejemplo, los concentrados de cobre)</w:t>
      </w:r>
      <w:r w:rsidR="000613A6" w:rsidRPr="000613A6">
        <w:rPr>
          <w:color w:val="222222"/>
          <w:sz w:val="22"/>
          <w:szCs w:val="22"/>
        </w:rPr>
        <w:t xml:space="preserve">, la demanda podría aumentar en paralelo a la potencial necesidad </w:t>
      </w:r>
      <w:r w:rsidR="00885365" w:rsidRPr="000613A6">
        <w:rPr>
          <w:color w:val="222222"/>
          <w:sz w:val="22"/>
          <w:szCs w:val="22"/>
        </w:rPr>
        <w:t>de contar con</w:t>
      </w:r>
      <w:r w:rsidR="000613A6" w:rsidRPr="000613A6">
        <w:rPr>
          <w:color w:val="222222"/>
          <w:sz w:val="22"/>
          <w:szCs w:val="22"/>
        </w:rPr>
        <w:t xml:space="preserve"> capacidad analítica en el país, sin embargo, la </w:t>
      </w:r>
      <w:r w:rsidR="009C2EA4" w:rsidRPr="000613A6">
        <w:rPr>
          <w:color w:val="222222"/>
          <w:sz w:val="22"/>
          <w:szCs w:val="22"/>
        </w:rPr>
        <w:t>creación</w:t>
      </w:r>
      <w:r w:rsidR="000613A6" w:rsidRPr="000613A6">
        <w:rPr>
          <w:color w:val="222222"/>
          <w:sz w:val="22"/>
          <w:szCs w:val="22"/>
        </w:rPr>
        <w:t xml:space="preserve"> de esta </w:t>
      </w:r>
      <w:r w:rsidR="009C2EA4" w:rsidRPr="000613A6">
        <w:rPr>
          <w:color w:val="222222"/>
          <w:sz w:val="22"/>
          <w:szCs w:val="22"/>
        </w:rPr>
        <w:t>infraestructura</w:t>
      </w:r>
      <w:r w:rsidR="000613A6" w:rsidRPr="000613A6">
        <w:rPr>
          <w:color w:val="222222"/>
          <w:sz w:val="22"/>
          <w:szCs w:val="22"/>
        </w:rPr>
        <w:t xml:space="preserve"> técnica es un proceso que puede tomar varios años.</w:t>
      </w:r>
    </w:p>
    <w:p w:rsidR="00A75434" w:rsidRDefault="009C2EA4" w:rsidP="00606EAC">
      <w:pPr>
        <w:jc w:val="both"/>
        <w:rPr>
          <w:sz w:val="22"/>
          <w:szCs w:val="22"/>
        </w:rPr>
      </w:pPr>
      <w:r>
        <w:rPr>
          <w:sz w:val="22"/>
          <w:szCs w:val="22"/>
        </w:rPr>
        <w:t xml:space="preserve">Con respecto a los avances de este sector, se observa que los sectores de plaguicidas y transporte, donde </w:t>
      </w:r>
      <w:r w:rsidR="00A75434" w:rsidRPr="00173FFF">
        <w:rPr>
          <w:sz w:val="22"/>
          <w:szCs w:val="22"/>
        </w:rPr>
        <w:t xml:space="preserve">existen amplias capacidades para la clasificación, etiquetado y HDS de acuerdo a la normativa actual, no </w:t>
      </w:r>
      <w:r>
        <w:rPr>
          <w:sz w:val="22"/>
          <w:szCs w:val="22"/>
        </w:rPr>
        <w:t>se han registrado avances</w:t>
      </w:r>
      <w:r w:rsidR="00A75434" w:rsidRPr="00173FFF">
        <w:rPr>
          <w:sz w:val="22"/>
          <w:szCs w:val="22"/>
        </w:rPr>
        <w:t xml:space="preserve"> con respe</w:t>
      </w:r>
      <w:r w:rsidR="00173FFF" w:rsidRPr="00173FFF">
        <w:rPr>
          <w:sz w:val="22"/>
          <w:szCs w:val="22"/>
        </w:rPr>
        <w:t>cto a las disposiciones del GHS (actualmente se utiliza nomenclatura FAO para los plaguicidas y reglamentación modelo para el transporte).</w:t>
      </w:r>
    </w:p>
    <w:p w:rsidR="00F91193" w:rsidRPr="00173FFF" w:rsidRDefault="007777B9" w:rsidP="00606EAC">
      <w:pPr>
        <w:jc w:val="both"/>
        <w:rPr>
          <w:sz w:val="22"/>
          <w:szCs w:val="22"/>
        </w:rPr>
      </w:pPr>
      <w:r w:rsidRPr="00173FFF">
        <w:rPr>
          <w:sz w:val="22"/>
          <w:szCs w:val="22"/>
        </w:rPr>
        <w:t>A</w:t>
      </w:r>
      <w:r w:rsidR="00CC66B4" w:rsidRPr="00173FFF">
        <w:rPr>
          <w:sz w:val="22"/>
          <w:szCs w:val="22"/>
        </w:rPr>
        <w:t xml:space="preserve"> nivel individual, muchas empresas manejan presupuesto para realizar capacitaciones y entrenamiento en temas de gestión segura de sustancias químicas, mientras que a nivel de Asociaciones también es posible encontrar programas de capacitación permanentes, por ejemplo, los asociados de ASIQUIM bajo la directriz de Conducta Responsable y el sector plaguicidas </w:t>
      </w:r>
      <w:r w:rsidR="00BF4183" w:rsidRPr="00173FFF">
        <w:rPr>
          <w:sz w:val="22"/>
          <w:szCs w:val="22"/>
        </w:rPr>
        <w:t>a</w:t>
      </w:r>
      <w:r w:rsidR="00CC66B4" w:rsidRPr="00173FFF">
        <w:rPr>
          <w:sz w:val="22"/>
          <w:szCs w:val="22"/>
        </w:rPr>
        <w:t xml:space="preserve">l alero del Acuerdo de Producción Limpia. Sin embargo, es a nivel de </w:t>
      </w:r>
      <w:r w:rsidR="00BF4183" w:rsidRPr="00173FFF">
        <w:rPr>
          <w:sz w:val="22"/>
          <w:szCs w:val="22"/>
        </w:rPr>
        <w:t>pymes</w:t>
      </w:r>
      <w:r w:rsidR="00692031" w:rsidRPr="00173FFF">
        <w:rPr>
          <w:sz w:val="22"/>
          <w:szCs w:val="22"/>
        </w:rPr>
        <w:t xml:space="preserve"> donde </w:t>
      </w:r>
      <w:r w:rsidR="00CC66B4" w:rsidRPr="00173FFF">
        <w:rPr>
          <w:sz w:val="22"/>
          <w:szCs w:val="22"/>
        </w:rPr>
        <w:t>se detectan las principales falencias en actividades de capacitación, ya sea por falta de</w:t>
      </w:r>
      <w:r w:rsidR="00692031" w:rsidRPr="00173FFF">
        <w:rPr>
          <w:sz w:val="22"/>
          <w:szCs w:val="22"/>
        </w:rPr>
        <w:t xml:space="preserve"> iniciativa o falta de recursos.</w:t>
      </w:r>
    </w:p>
    <w:p w:rsidR="00771804" w:rsidRPr="00173FFF" w:rsidRDefault="00771804" w:rsidP="00872364">
      <w:pPr>
        <w:pStyle w:val="Heading3"/>
        <w:spacing w:after="180" w:line="264" w:lineRule="auto"/>
        <w:ind w:left="0" w:firstLine="0"/>
      </w:pPr>
      <w:bookmarkStart w:id="105" w:name="_Toc418168902"/>
      <w:r w:rsidRPr="00173FFF">
        <w:t>Sociedad Civil</w:t>
      </w:r>
      <w:bookmarkEnd w:id="105"/>
    </w:p>
    <w:p w:rsidR="00485F50" w:rsidRPr="00CD4265" w:rsidRDefault="0002625D" w:rsidP="00606EAC">
      <w:pPr>
        <w:jc w:val="both"/>
        <w:rPr>
          <w:sz w:val="22"/>
          <w:szCs w:val="22"/>
        </w:rPr>
      </w:pPr>
      <w:r w:rsidRPr="00173FFF">
        <w:rPr>
          <w:sz w:val="22"/>
          <w:szCs w:val="22"/>
        </w:rPr>
        <w:t xml:space="preserve">Los grupos de la </w:t>
      </w:r>
      <w:r w:rsidR="00061E28" w:rsidRPr="00173FFF">
        <w:rPr>
          <w:sz w:val="22"/>
          <w:szCs w:val="22"/>
        </w:rPr>
        <w:t>sociedad civil tienen un papel importante</w:t>
      </w:r>
      <w:r w:rsidRPr="00173FFF">
        <w:rPr>
          <w:sz w:val="22"/>
          <w:szCs w:val="22"/>
        </w:rPr>
        <w:t xml:space="preserve"> en el desarrollo de una estrategia de implementación del GHS, principalmente, </w:t>
      </w:r>
      <w:r w:rsidR="00485F50" w:rsidRPr="00173FFF">
        <w:rPr>
          <w:sz w:val="22"/>
          <w:szCs w:val="22"/>
        </w:rPr>
        <w:t xml:space="preserve">debido a que representan los intereses de los individuos unidos por un propósito común, </w:t>
      </w:r>
      <w:r w:rsidR="00485F50" w:rsidRPr="00CD4265">
        <w:rPr>
          <w:sz w:val="22"/>
          <w:szCs w:val="22"/>
        </w:rPr>
        <w:t>como la protección de la salud ambiental o humana.</w:t>
      </w:r>
    </w:p>
    <w:p w:rsidR="00944F5D" w:rsidRPr="00CD4265" w:rsidRDefault="00CD4265" w:rsidP="00944F5D">
      <w:pPr>
        <w:jc w:val="both"/>
        <w:rPr>
          <w:color w:val="222222"/>
          <w:sz w:val="22"/>
          <w:szCs w:val="22"/>
        </w:rPr>
      </w:pPr>
      <w:r w:rsidRPr="00CD4265">
        <w:rPr>
          <w:color w:val="222222"/>
          <w:sz w:val="22"/>
          <w:szCs w:val="22"/>
        </w:rPr>
        <w:t>En primer lugar, cabe señalar que en el sector de Productos</w:t>
      </w:r>
      <w:r w:rsidR="00944F5D" w:rsidRPr="00CD4265">
        <w:rPr>
          <w:color w:val="222222"/>
          <w:sz w:val="22"/>
          <w:szCs w:val="22"/>
        </w:rPr>
        <w:t xml:space="preserve"> de Consumo, no existen regulaciones para la fabricación de  productos nuevos que entran al mercado dado que el país no es un gran productor de estas sustancias, por lo tanto, no existe obligación para determinar las características de peligrosidad del producto y por consiguiente tampoco existe capacidad técnica y analítica</w:t>
      </w:r>
      <w:r w:rsidRPr="00CD4265">
        <w:rPr>
          <w:color w:val="222222"/>
          <w:sz w:val="22"/>
          <w:szCs w:val="22"/>
        </w:rPr>
        <w:t xml:space="preserve"> para la clasificación de ellas </w:t>
      </w:r>
      <w:r>
        <w:rPr>
          <w:color w:val="222222"/>
          <w:sz w:val="22"/>
          <w:szCs w:val="22"/>
        </w:rPr>
        <w:t>en el país</w:t>
      </w:r>
      <w:r w:rsidRPr="00CD4265">
        <w:rPr>
          <w:color w:val="222222"/>
          <w:sz w:val="22"/>
          <w:szCs w:val="22"/>
        </w:rPr>
        <w:t>.</w:t>
      </w:r>
    </w:p>
    <w:p w:rsidR="00252C1C" w:rsidRDefault="00CD4265" w:rsidP="00606EAC">
      <w:pPr>
        <w:jc w:val="both"/>
        <w:rPr>
          <w:sz w:val="22"/>
          <w:szCs w:val="22"/>
        </w:rPr>
      </w:pPr>
      <w:r>
        <w:rPr>
          <w:sz w:val="22"/>
          <w:szCs w:val="22"/>
        </w:rPr>
        <w:t xml:space="preserve">En cuanto a temas de formación y sensibilización sobre el GHS, es posible constatar que existe nulo interés por parte de este sector en contribuir a la implementación del sistema, en base a que las </w:t>
      </w:r>
      <w:r w:rsidR="00252C1C" w:rsidRPr="00173FFF">
        <w:rPr>
          <w:sz w:val="22"/>
          <w:szCs w:val="22"/>
        </w:rPr>
        <w:t>actividades de concien</w:t>
      </w:r>
      <w:r w:rsidR="00F5211F" w:rsidRPr="00173FFF">
        <w:rPr>
          <w:sz w:val="22"/>
          <w:szCs w:val="22"/>
        </w:rPr>
        <w:t>ciación</w:t>
      </w:r>
      <w:r w:rsidR="00F33780">
        <w:rPr>
          <w:sz w:val="22"/>
          <w:szCs w:val="22"/>
        </w:rPr>
        <w:t xml:space="preserve"> y capacitación</w:t>
      </w:r>
      <w:r>
        <w:rPr>
          <w:sz w:val="22"/>
          <w:szCs w:val="22"/>
        </w:rPr>
        <w:t xml:space="preserve"> planificadas no tuvieron asistentes y a que no se cuenta con</w:t>
      </w:r>
      <w:r w:rsidR="00252C1C" w:rsidRPr="00173FFF">
        <w:rPr>
          <w:sz w:val="22"/>
          <w:szCs w:val="22"/>
        </w:rPr>
        <w:t xml:space="preserve"> participación activa de representantes de este sector en el Comité,</w:t>
      </w:r>
      <w:r w:rsidR="00FE3B76" w:rsidRPr="00173FFF">
        <w:rPr>
          <w:sz w:val="22"/>
          <w:szCs w:val="22"/>
        </w:rPr>
        <w:t xml:space="preserve"> a pesar de los numerosos esfuerzos realizados,</w:t>
      </w:r>
      <w:r w:rsidR="00252C1C" w:rsidRPr="00173FFF">
        <w:rPr>
          <w:sz w:val="22"/>
          <w:szCs w:val="22"/>
        </w:rPr>
        <w:t xml:space="preserve"> lo que trae</w:t>
      </w:r>
      <w:r>
        <w:rPr>
          <w:sz w:val="22"/>
          <w:szCs w:val="22"/>
        </w:rPr>
        <w:t xml:space="preserve"> además </w:t>
      </w:r>
      <w:r w:rsidR="00252C1C" w:rsidRPr="00173FFF">
        <w:rPr>
          <w:sz w:val="22"/>
          <w:szCs w:val="22"/>
        </w:rPr>
        <w:t>como consecuencia que no exista una retroalimentación actualizada sobre las capacidades del sector.</w:t>
      </w:r>
    </w:p>
    <w:p w:rsidR="00F33780" w:rsidRDefault="00F33780" w:rsidP="00606EAC">
      <w:pPr>
        <w:jc w:val="both"/>
        <w:rPr>
          <w:sz w:val="22"/>
          <w:szCs w:val="22"/>
        </w:rPr>
      </w:pPr>
      <w:r>
        <w:rPr>
          <w:sz w:val="22"/>
          <w:szCs w:val="22"/>
        </w:rPr>
        <w:t>Por este mismo bajo nivel de interés actual, no existen fuentes de financiamiento establecidas para las actividades que las organizaciones pudiesen necesitar realizar para apoyar la implementación del GHS, puesto que se han mantenido al margen del proceso de elaboración de la estrategia.</w:t>
      </w:r>
    </w:p>
    <w:p w:rsidR="003E6C04" w:rsidRPr="000B7676" w:rsidRDefault="00F5211F" w:rsidP="00606EAC">
      <w:pPr>
        <w:jc w:val="both"/>
        <w:rPr>
          <w:sz w:val="22"/>
          <w:szCs w:val="22"/>
        </w:rPr>
      </w:pPr>
      <w:r w:rsidRPr="000B7676">
        <w:rPr>
          <w:sz w:val="22"/>
          <w:szCs w:val="22"/>
        </w:rPr>
        <w:t>En el caso del sector académico, tampoco se observa un interés en apoyar la implementación, probablemente también debido a una falta de información sobre el tema y la importancia que representa. Las capacidades de este sector radican en la</w:t>
      </w:r>
      <w:r w:rsidR="00F33780">
        <w:rPr>
          <w:sz w:val="22"/>
          <w:szCs w:val="22"/>
        </w:rPr>
        <w:t xml:space="preserve"> eventual</w:t>
      </w:r>
      <w:r w:rsidRPr="000B7676">
        <w:rPr>
          <w:sz w:val="22"/>
          <w:szCs w:val="22"/>
        </w:rPr>
        <w:t xml:space="preserve"> infraestructura técnica de sus laboratorios para realizar análisis de toxicidad y ecotoxicidad de sustancias químicas, que es escasa</w:t>
      </w:r>
      <w:r w:rsidR="00F33780">
        <w:rPr>
          <w:sz w:val="22"/>
          <w:szCs w:val="22"/>
        </w:rPr>
        <w:t xml:space="preserve"> en la actualidad</w:t>
      </w:r>
      <w:r w:rsidRPr="000B7676">
        <w:rPr>
          <w:sz w:val="22"/>
          <w:szCs w:val="22"/>
        </w:rPr>
        <w:t xml:space="preserve"> debido </w:t>
      </w:r>
      <w:r w:rsidR="00061E28" w:rsidRPr="000B7676">
        <w:rPr>
          <w:sz w:val="22"/>
          <w:szCs w:val="22"/>
        </w:rPr>
        <w:t>a que no</w:t>
      </w:r>
      <w:r w:rsidRPr="000B7676">
        <w:rPr>
          <w:sz w:val="22"/>
          <w:szCs w:val="22"/>
        </w:rPr>
        <w:t xml:space="preserve"> existe una demanda suficiente que lo sustente</w:t>
      </w:r>
      <w:r w:rsidR="006F3CD5" w:rsidRPr="000B7676">
        <w:rPr>
          <w:sz w:val="22"/>
          <w:szCs w:val="22"/>
        </w:rPr>
        <w:t>,</w:t>
      </w:r>
      <w:r w:rsidRPr="000B7676">
        <w:rPr>
          <w:sz w:val="22"/>
          <w:szCs w:val="22"/>
        </w:rPr>
        <w:t xml:space="preserve"> y </w:t>
      </w:r>
      <w:r w:rsidR="006F3CD5" w:rsidRPr="000B7676">
        <w:rPr>
          <w:sz w:val="22"/>
          <w:szCs w:val="22"/>
        </w:rPr>
        <w:t>en</w:t>
      </w:r>
      <w:r w:rsidRPr="000B7676">
        <w:rPr>
          <w:sz w:val="22"/>
          <w:szCs w:val="22"/>
        </w:rPr>
        <w:t xml:space="preserve"> actividades de educación/concienciación</w:t>
      </w:r>
      <w:r w:rsidR="006F3CD5" w:rsidRPr="000B7676">
        <w:rPr>
          <w:sz w:val="22"/>
          <w:szCs w:val="22"/>
        </w:rPr>
        <w:t>,</w:t>
      </w:r>
      <w:r w:rsidR="00061E28" w:rsidRPr="000B7676">
        <w:rPr>
          <w:sz w:val="22"/>
          <w:szCs w:val="22"/>
        </w:rPr>
        <w:t xml:space="preserve"> donde existen deficiencias en la tarea de</w:t>
      </w:r>
      <w:r w:rsidRPr="000B7676">
        <w:rPr>
          <w:sz w:val="22"/>
          <w:szCs w:val="22"/>
        </w:rPr>
        <w:t xml:space="preserve"> promover temas de seguridad en la gestión de sustancias químicas dentro de los planes de estudio no sólo a nivel universitario sino también en el ciclo escolar.</w:t>
      </w:r>
    </w:p>
    <w:p w:rsidR="00485F50" w:rsidRPr="000B7676" w:rsidRDefault="008202AE" w:rsidP="00606EAC">
      <w:pPr>
        <w:jc w:val="both"/>
        <w:rPr>
          <w:sz w:val="22"/>
          <w:szCs w:val="22"/>
        </w:rPr>
      </w:pPr>
      <w:r w:rsidRPr="000B7676">
        <w:rPr>
          <w:sz w:val="22"/>
          <w:szCs w:val="22"/>
        </w:rPr>
        <w:t>Los representantes de la</w:t>
      </w:r>
      <w:r w:rsidR="00485F50" w:rsidRPr="000B7676">
        <w:rPr>
          <w:sz w:val="22"/>
          <w:szCs w:val="22"/>
        </w:rPr>
        <w:t xml:space="preserve"> sociedad civil además puede</w:t>
      </w:r>
      <w:r w:rsidRPr="000B7676">
        <w:rPr>
          <w:sz w:val="22"/>
          <w:szCs w:val="22"/>
        </w:rPr>
        <w:t>n</w:t>
      </w:r>
      <w:r w:rsidR="00485F50" w:rsidRPr="000B7676">
        <w:rPr>
          <w:sz w:val="22"/>
          <w:szCs w:val="22"/>
        </w:rPr>
        <w:t xml:space="preserve"> involucrarse en programas adicionales para promover la implementación eficaz del GHS, por ejemplo, a través de actividades de capacitación, sensibilización y divulgación sobre el uso seguro de sustancias químicas y la comunicación de sus peligros, dirigidas a su público o grupos representados.</w:t>
      </w:r>
    </w:p>
    <w:p w:rsidR="00307A77" w:rsidRDefault="00A85DAD" w:rsidP="00606EAC">
      <w:pPr>
        <w:jc w:val="both"/>
        <w:rPr>
          <w:sz w:val="22"/>
          <w:szCs w:val="22"/>
        </w:rPr>
      </w:pPr>
      <w:r w:rsidRPr="000B7676">
        <w:rPr>
          <w:sz w:val="22"/>
          <w:szCs w:val="22"/>
        </w:rPr>
        <w:t>Finalmente, es importante crear las instancias de cooperaci</w:t>
      </w:r>
      <w:r w:rsidR="003E6C04" w:rsidRPr="000B7676">
        <w:rPr>
          <w:sz w:val="22"/>
          <w:szCs w:val="22"/>
        </w:rPr>
        <w:t>ón entre el gobierno,</w:t>
      </w:r>
      <w:r w:rsidRPr="000B7676">
        <w:rPr>
          <w:sz w:val="22"/>
          <w:szCs w:val="22"/>
        </w:rPr>
        <w:t xml:space="preserve"> el sector industrial</w:t>
      </w:r>
      <w:r w:rsidR="003E6C04" w:rsidRPr="000B7676">
        <w:rPr>
          <w:sz w:val="22"/>
          <w:szCs w:val="22"/>
        </w:rPr>
        <w:t xml:space="preserve"> y la sociedad civil con la finalidad de aunar esfuerzos</w:t>
      </w:r>
      <w:r w:rsidR="00A244E0" w:rsidRPr="000B7676">
        <w:rPr>
          <w:sz w:val="22"/>
          <w:szCs w:val="22"/>
        </w:rPr>
        <w:t xml:space="preserve"> y proveer mecanismos de colaboración financiera entre los sectores y con ello trabajar unidos</w:t>
      </w:r>
      <w:r w:rsidR="003E6C04" w:rsidRPr="000B7676">
        <w:rPr>
          <w:sz w:val="22"/>
          <w:szCs w:val="22"/>
        </w:rPr>
        <w:t xml:space="preserve"> en la creación de </w:t>
      </w:r>
      <w:r w:rsidR="003E6C04" w:rsidRPr="005B5BAF">
        <w:rPr>
          <w:sz w:val="22"/>
          <w:szCs w:val="22"/>
        </w:rPr>
        <w:t>capacidades y en las actividades de sensibilizaci</w:t>
      </w:r>
      <w:r w:rsidR="00A244E0" w:rsidRPr="005B5BAF">
        <w:rPr>
          <w:sz w:val="22"/>
          <w:szCs w:val="22"/>
        </w:rPr>
        <w:t>ón.</w:t>
      </w:r>
    </w:p>
    <w:p w:rsidR="005912F0" w:rsidRDefault="005912F0" w:rsidP="00606EAC">
      <w:pPr>
        <w:jc w:val="both"/>
        <w:rPr>
          <w:sz w:val="22"/>
          <w:szCs w:val="22"/>
        </w:rPr>
      </w:pPr>
    </w:p>
    <w:p w:rsidR="00801F1D" w:rsidRPr="005B5BAF" w:rsidRDefault="00801F1D" w:rsidP="00872364">
      <w:pPr>
        <w:pStyle w:val="Heading2"/>
        <w:ind w:left="0" w:firstLine="0"/>
        <w:rPr>
          <w:lang w:val="es-CL"/>
        </w:rPr>
      </w:pPr>
      <w:bookmarkStart w:id="106" w:name="_Toc418168903"/>
      <w:r w:rsidRPr="005B5BAF">
        <w:rPr>
          <w:lang w:val="es-CL"/>
        </w:rPr>
        <w:t>Resumen de resultados de Análisis de Situación y Vacíos</w:t>
      </w:r>
      <w:bookmarkEnd w:id="106"/>
    </w:p>
    <w:p w:rsidR="00CB225B" w:rsidRDefault="00CB225B" w:rsidP="00606EAC">
      <w:pPr>
        <w:jc w:val="both"/>
        <w:rPr>
          <w:sz w:val="22"/>
          <w:szCs w:val="22"/>
          <w:lang w:val="es-CL"/>
        </w:rPr>
      </w:pPr>
      <w:r w:rsidRPr="005B5BAF">
        <w:rPr>
          <w:sz w:val="22"/>
          <w:szCs w:val="22"/>
          <w:lang w:val="es-CL"/>
        </w:rPr>
        <w:t>A continuación se presenta un resumen de l</w:t>
      </w:r>
      <w:r w:rsidR="00BC1745" w:rsidRPr="005B5BAF">
        <w:rPr>
          <w:sz w:val="22"/>
          <w:szCs w:val="22"/>
          <w:lang w:val="es-CL"/>
        </w:rPr>
        <w:t>a situación nacional, así como de</w:t>
      </w:r>
      <w:r w:rsidRPr="005B5BAF">
        <w:rPr>
          <w:sz w:val="22"/>
          <w:szCs w:val="22"/>
          <w:lang w:val="es-CL"/>
        </w:rPr>
        <w:t xml:space="preserve"> los vacíos a tener presentes para la implementación del GHS en los sectores Industrial, Agricultura, Transporte y Consumidor, considerando 7 aspectos distintos:</w:t>
      </w:r>
    </w:p>
    <w:p w:rsidR="00801F1D" w:rsidRPr="005B5BAF" w:rsidRDefault="00801F1D" w:rsidP="00191F4B">
      <w:pPr>
        <w:contextualSpacing/>
        <w:jc w:val="center"/>
        <w:rPr>
          <w:b/>
          <w:sz w:val="22"/>
          <w:szCs w:val="22"/>
        </w:rPr>
      </w:pPr>
      <w:r w:rsidRPr="005B5BAF">
        <w:rPr>
          <w:b/>
          <w:sz w:val="22"/>
          <w:szCs w:val="22"/>
        </w:rPr>
        <w:t xml:space="preserve">Tabla </w:t>
      </w:r>
      <w:r w:rsidR="00F13083">
        <w:rPr>
          <w:b/>
          <w:sz w:val="22"/>
          <w:szCs w:val="22"/>
        </w:rPr>
        <w:t>15</w:t>
      </w:r>
      <w:r w:rsidRPr="005B5BAF">
        <w:rPr>
          <w:b/>
          <w:sz w:val="22"/>
          <w:szCs w:val="22"/>
        </w:rPr>
        <w:t>: Resumen de Análisis de Situación en los 4 sectores de interés</w:t>
      </w:r>
    </w:p>
    <w:tbl>
      <w:tblPr>
        <w:tblStyle w:val="Listaclara-nfasis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2011"/>
        <w:gridCol w:w="1979"/>
        <w:gridCol w:w="1959"/>
        <w:gridCol w:w="1982"/>
      </w:tblGrid>
      <w:tr w:rsidR="00801F1D" w:rsidRPr="00E551B0" w:rsidTr="00B605B8">
        <w:trPr>
          <w:cnfStyle w:val="100000000000" w:firstRow="1" w:lastRow="0" w:firstColumn="0" w:lastColumn="0" w:oddVBand="0" w:evenVBand="0" w:oddHBand="0"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2012" w:type="dxa"/>
            <w:vAlign w:val="center"/>
          </w:tcPr>
          <w:p w:rsidR="00801F1D" w:rsidRPr="005B5BAF" w:rsidRDefault="00801F1D" w:rsidP="00606EAC">
            <w:pPr>
              <w:contextualSpacing/>
              <w:jc w:val="center"/>
              <w:rPr>
                <w:rFonts w:asciiTheme="minorHAnsi" w:hAnsiTheme="minorHAnsi"/>
              </w:rPr>
            </w:pPr>
            <w:r w:rsidRPr="005B5BAF">
              <w:rPr>
                <w:rFonts w:asciiTheme="minorHAnsi" w:hAnsiTheme="minorHAnsi"/>
              </w:rPr>
              <w:t>Aspecto</w:t>
            </w:r>
          </w:p>
        </w:tc>
        <w:tc>
          <w:tcPr>
            <w:tcW w:w="2013" w:type="dxa"/>
            <w:vAlign w:val="center"/>
          </w:tcPr>
          <w:p w:rsidR="00801F1D" w:rsidRPr="005B5BAF" w:rsidRDefault="00801F1D" w:rsidP="00606EAC">
            <w:pPr>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Industria</w:t>
            </w:r>
          </w:p>
        </w:tc>
        <w:tc>
          <w:tcPr>
            <w:tcW w:w="2012" w:type="dxa"/>
            <w:vAlign w:val="center"/>
          </w:tcPr>
          <w:p w:rsidR="00801F1D" w:rsidRPr="005B5BAF" w:rsidRDefault="00801F1D" w:rsidP="00606EAC">
            <w:pPr>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Agricultura</w:t>
            </w:r>
          </w:p>
        </w:tc>
        <w:tc>
          <w:tcPr>
            <w:tcW w:w="2013" w:type="dxa"/>
            <w:vAlign w:val="center"/>
          </w:tcPr>
          <w:p w:rsidR="00801F1D" w:rsidRPr="005B5BAF" w:rsidRDefault="00801F1D" w:rsidP="00606EAC">
            <w:pPr>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Transporte</w:t>
            </w:r>
          </w:p>
        </w:tc>
        <w:tc>
          <w:tcPr>
            <w:tcW w:w="2013" w:type="dxa"/>
            <w:vAlign w:val="center"/>
          </w:tcPr>
          <w:p w:rsidR="00801F1D" w:rsidRPr="005B5BAF" w:rsidRDefault="00801F1D" w:rsidP="00606EAC">
            <w:pPr>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Consumidor</w:t>
            </w:r>
          </w:p>
        </w:tc>
      </w:tr>
      <w:tr w:rsidR="00801F1D" w:rsidRPr="00E551B0" w:rsidTr="00B605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12" w:type="dxa"/>
            <w:tcBorders>
              <w:top w:val="none" w:sz="0" w:space="0" w:color="auto"/>
              <w:left w:val="none" w:sz="0" w:space="0" w:color="auto"/>
              <w:bottom w:val="none" w:sz="0" w:space="0" w:color="auto"/>
            </w:tcBorders>
            <w:vAlign w:val="center"/>
          </w:tcPr>
          <w:p w:rsidR="00801F1D" w:rsidRPr="005B5BAF" w:rsidRDefault="00801F1D" w:rsidP="00606EAC">
            <w:pPr>
              <w:contextualSpacing/>
              <w:jc w:val="left"/>
              <w:rPr>
                <w:rFonts w:asciiTheme="minorHAnsi" w:hAnsiTheme="minorHAnsi"/>
              </w:rPr>
            </w:pPr>
            <w:r w:rsidRPr="005B5BAF">
              <w:rPr>
                <w:rFonts w:asciiTheme="minorHAnsi" w:hAnsiTheme="minorHAnsi"/>
              </w:rPr>
              <w:t>Legislación sobre clasificación, etiquetado y hojas de seguridad</w:t>
            </w:r>
          </w:p>
        </w:tc>
        <w:tc>
          <w:tcPr>
            <w:tcW w:w="2013" w:type="dxa"/>
            <w:tcBorders>
              <w:top w:val="none" w:sz="0" w:space="0" w:color="auto"/>
              <w:bottom w:val="none" w:sz="0" w:space="0" w:color="auto"/>
            </w:tcBorders>
            <w:vAlign w:val="center"/>
          </w:tcPr>
          <w:p w:rsidR="00801F1D" w:rsidRPr="005B5BAF" w:rsidRDefault="00801F1D" w:rsidP="00606EAC">
            <w:pPr>
              <w:pStyle w:val="Default"/>
              <w:spacing w:after="180" w:line="264" w:lineRule="auto"/>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sz w:val="20"/>
                <w:szCs w:val="20"/>
              </w:rPr>
              <w:t>Existen regulaciones apropiadas y suficientes en clasificación. Menor cantidad en temas de etiquetado y HDS</w:t>
            </w:r>
          </w:p>
        </w:tc>
        <w:tc>
          <w:tcPr>
            <w:tcW w:w="2012" w:type="dxa"/>
            <w:tcBorders>
              <w:top w:val="none" w:sz="0" w:space="0" w:color="auto"/>
              <w:bottom w:val="none" w:sz="0" w:space="0" w:color="auto"/>
            </w:tcBorders>
            <w:vAlign w:val="center"/>
          </w:tcPr>
          <w:p w:rsidR="00801F1D" w:rsidRPr="005B5BAF" w:rsidRDefault="00801F1D" w:rsidP="00606EAC">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Existen regulaciones apropiadas y suficientes en clasificación y etiquetado. Menor cantidad en HDS</w:t>
            </w:r>
          </w:p>
        </w:tc>
        <w:tc>
          <w:tcPr>
            <w:tcW w:w="2013" w:type="dxa"/>
            <w:tcBorders>
              <w:top w:val="none" w:sz="0" w:space="0" w:color="auto"/>
              <w:bottom w:val="none" w:sz="0" w:space="0" w:color="auto"/>
            </w:tcBorders>
            <w:vAlign w:val="center"/>
          </w:tcPr>
          <w:p w:rsidR="00801F1D" w:rsidRPr="005B5BAF" w:rsidRDefault="00801F1D" w:rsidP="00606EAC">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Existe regulación adecuada sobre clasificación pero se registran brechas en etiquetado y HDS</w:t>
            </w:r>
          </w:p>
        </w:tc>
        <w:tc>
          <w:tcPr>
            <w:tcW w:w="2013" w:type="dxa"/>
            <w:tcBorders>
              <w:top w:val="none" w:sz="0" w:space="0" w:color="auto"/>
              <w:bottom w:val="none" w:sz="0" w:space="0" w:color="auto"/>
              <w:right w:val="none" w:sz="0" w:space="0" w:color="auto"/>
            </w:tcBorders>
            <w:vAlign w:val="center"/>
          </w:tcPr>
          <w:p w:rsidR="00801F1D" w:rsidRPr="005B5BAF" w:rsidRDefault="00801F1D" w:rsidP="00606EAC">
            <w:pPr>
              <w:pStyle w:val="Default"/>
              <w:spacing w:after="180" w:line="264" w:lineRule="auto"/>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sidRPr="005B5BAF">
              <w:rPr>
                <w:rFonts w:asciiTheme="minorHAnsi" w:hAnsiTheme="minorHAnsi"/>
                <w:sz w:val="20"/>
                <w:szCs w:val="20"/>
              </w:rPr>
              <w:t>Existe escasa regulación en clasificación y etiquetado y nula en HDS</w:t>
            </w:r>
          </w:p>
        </w:tc>
      </w:tr>
      <w:tr w:rsidR="00801F1D" w:rsidRPr="00E551B0" w:rsidTr="00B605B8">
        <w:tc>
          <w:tcPr>
            <w:cnfStyle w:val="001000000000" w:firstRow="0" w:lastRow="0" w:firstColumn="1" w:lastColumn="0" w:oddVBand="0" w:evenVBand="0" w:oddHBand="0" w:evenHBand="0" w:firstRowFirstColumn="0" w:firstRowLastColumn="0" w:lastRowFirstColumn="0" w:lastRowLastColumn="0"/>
            <w:tcW w:w="2012" w:type="dxa"/>
            <w:vAlign w:val="center"/>
          </w:tcPr>
          <w:p w:rsidR="00801F1D" w:rsidRPr="005B5BAF" w:rsidRDefault="00801F1D" w:rsidP="00606EAC">
            <w:pPr>
              <w:contextualSpacing/>
              <w:jc w:val="left"/>
              <w:rPr>
                <w:rFonts w:asciiTheme="minorHAnsi" w:hAnsiTheme="minorHAnsi"/>
              </w:rPr>
            </w:pPr>
            <w:r w:rsidRPr="005B5BAF">
              <w:rPr>
                <w:rFonts w:asciiTheme="minorHAnsi" w:hAnsiTheme="minorHAnsi"/>
              </w:rPr>
              <w:t>Formación sobre GHS</w:t>
            </w:r>
          </w:p>
        </w:tc>
        <w:tc>
          <w:tcPr>
            <w:tcW w:w="2013" w:type="dxa"/>
            <w:vAlign w:val="center"/>
          </w:tcPr>
          <w:p w:rsidR="00801F1D" w:rsidRPr="005B5BAF" w:rsidRDefault="00801F1D" w:rsidP="00606EAC">
            <w:pPr>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bookmarkStart w:id="107" w:name="OLE_LINK1"/>
            <w:bookmarkStart w:id="108" w:name="OLE_LINK4"/>
            <w:r w:rsidRPr="005B5BAF">
              <w:rPr>
                <w:rFonts w:asciiTheme="minorHAnsi" w:hAnsiTheme="minorHAnsi"/>
              </w:rPr>
              <w:t>Se ha realizado sólo una primera etapa de formación con talleres de capacitación</w:t>
            </w:r>
            <w:bookmarkEnd w:id="107"/>
            <w:bookmarkEnd w:id="108"/>
          </w:p>
        </w:tc>
        <w:tc>
          <w:tcPr>
            <w:tcW w:w="2012" w:type="dxa"/>
            <w:vAlign w:val="center"/>
          </w:tcPr>
          <w:p w:rsidR="00801F1D" w:rsidRPr="005B5BAF" w:rsidRDefault="00801F1D" w:rsidP="00606EAC">
            <w:pPr>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Se ha realizado sólo una primera etapa de formaci</w:t>
            </w:r>
            <w:r w:rsidR="001C363E" w:rsidRPr="005B5BAF">
              <w:rPr>
                <w:rFonts w:asciiTheme="minorHAnsi" w:hAnsiTheme="minorHAnsi"/>
              </w:rPr>
              <w:t>ón con talleres de capacitación</w:t>
            </w:r>
          </w:p>
        </w:tc>
        <w:tc>
          <w:tcPr>
            <w:tcW w:w="2013" w:type="dxa"/>
            <w:vAlign w:val="center"/>
          </w:tcPr>
          <w:p w:rsidR="00801F1D" w:rsidRPr="005B5BAF" w:rsidRDefault="00801F1D" w:rsidP="00606EAC">
            <w:pPr>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S/I</w:t>
            </w:r>
          </w:p>
        </w:tc>
        <w:tc>
          <w:tcPr>
            <w:tcW w:w="2013" w:type="dxa"/>
            <w:vAlign w:val="center"/>
          </w:tcPr>
          <w:p w:rsidR="00801F1D" w:rsidRPr="005B5BAF" w:rsidRDefault="001C363E" w:rsidP="00606EAC">
            <w:pPr>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N</w:t>
            </w:r>
            <w:r w:rsidR="00801F1D" w:rsidRPr="005B5BAF">
              <w:rPr>
                <w:rFonts w:asciiTheme="minorHAnsi" w:hAnsiTheme="minorHAnsi"/>
              </w:rPr>
              <w:t>o ha existido interés de representantes del sector en participar en talleres</w:t>
            </w:r>
          </w:p>
        </w:tc>
      </w:tr>
      <w:tr w:rsidR="00801F1D" w:rsidRPr="00E551B0" w:rsidTr="00B605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12" w:type="dxa"/>
            <w:tcBorders>
              <w:top w:val="none" w:sz="0" w:space="0" w:color="auto"/>
              <w:left w:val="none" w:sz="0" w:space="0" w:color="auto"/>
              <w:bottom w:val="none" w:sz="0" w:space="0" w:color="auto"/>
            </w:tcBorders>
            <w:vAlign w:val="center"/>
          </w:tcPr>
          <w:p w:rsidR="00801F1D" w:rsidRPr="005B5BAF" w:rsidRDefault="00801F1D" w:rsidP="00606EAC">
            <w:pPr>
              <w:contextualSpacing/>
              <w:jc w:val="left"/>
              <w:rPr>
                <w:rFonts w:asciiTheme="minorHAnsi" w:hAnsiTheme="minorHAnsi"/>
              </w:rPr>
            </w:pPr>
            <w:r w:rsidRPr="005B5BAF">
              <w:rPr>
                <w:rFonts w:asciiTheme="minorHAnsi" w:hAnsiTheme="minorHAnsi"/>
              </w:rPr>
              <w:t>Concienciación sobre GHS</w:t>
            </w:r>
          </w:p>
        </w:tc>
        <w:tc>
          <w:tcPr>
            <w:tcW w:w="2013" w:type="dxa"/>
            <w:tcBorders>
              <w:top w:val="none" w:sz="0" w:space="0" w:color="auto"/>
              <w:bottom w:val="none" w:sz="0" w:space="0" w:color="auto"/>
            </w:tcBorders>
            <w:vAlign w:val="center"/>
          </w:tcPr>
          <w:p w:rsidR="00801F1D" w:rsidRPr="005B5BAF" w:rsidRDefault="00801F1D" w:rsidP="00606EAC">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Se han realizado actividades pero no se observan avances significativos</w:t>
            </w:r>
          </w:p>
        </w:tc>
        <w:tc>
          <w:tcPr>
            <w:tcW w:w="2012" w:type="dxa"/>
            <w:tcBorders>
              <w:top w:val="none" w:sz="0" w:space="0" w:color="auto"/>
              <w:bottom w:val="none" w:sz="0" w:space="0" w:color="auto"/>
            </w:tcBorders>
            <w:vAlign w:val="center"/>
          </w:tcPr>
          <w:p w:rsidR="00801F1D" w:rsidRPr="005B5BAF" w:rsidRDefault="000B7676" w:rsidP="00606EAC">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 xml:space="preserve">Se han realizado actividades. Es el </w:t>
            </w:r>
            <w:r w:rsidR="00801F1D" w:rsidRPr="005B5BAF">
              <w:rPr>
                <w:rFonts w:asciiTheme="minorHAnsi" w:hAnsiTheme="minorHAnsi"/>
              </w:rPr>
              <w:t>sector con mayor avance</w:t>
            </w:r>
          </w:p>
        </w:tc>
        <w:tc>
          <w:tcPr>
            <w:tcW w:w="2013" w:type="dxa"/>
            <w:tcBorders>
              <w:top w:val="none" w:sz="0" w:space="0" w:color="auto"/>
              <w:bottom w:val="none" w:sz="0" w:space="0" w:color="auto"/>
            </w:tcBorders>
            <w:vAlign w:val="center"/>
          </w:tcPr>
          <w:p w:rsidR="00801F1D" w:rsidRPr="005B5BAF" w:rsidRDefault="00801F1D" w:rsidP="00606EAC">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No se han realizado actividades</w:t>
            </w:r>
          </w:p>
        </w:tc>
        <w:tc>
          <w:tcPr>
            <w:tcW w:w="2013" w:type="dxa"/>
            <w:tcBorders>
              <w:top w:val="none" w:sz="0" w:space="0" w:color="auto"/>
              <w:bottom w:val="none" w:sz="0" w:space="0" w:color="auto"/>
              <w:right w:val="none" w:sz="0" w:space="0" w:color="auto"/>
            </w:tcBorders>
            <w:vAlign w:val="center"/>
          </w:tcPr>
          <w:p w:rsidR="00801F1D" w:rsidRPr="005B5BAF" w:rsidRDefault="00801F1D" w:rsidP="00606EAC">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No se han realizado actividades</w:t>
            </w:r>
          </w:p>
        </w:tc>
      </w:tr>
      <w:tr w:rsidR="00801F1D" w:rsidRPr="00E551B0" w:rsidTr="00B605B8">
        <w:tc>
          <w:tcPr>
            <w:cnfStyle w:val="001000000000" w:firstRow="0" w:lastRow="0" w:firstColumn="1" w:lastColumn="0" w:oddVBand="0" w:evenVBand="0" w:oddHBand="0" w:evenHBand="0" w:firstRowFirstColumn="0" w:firstRowLastColumn="0" w:lastRowFirstColumn="0" w:lastRowLastColumn="0"/>
            <w:tcW w:w="2012" w:type="dxa"/>
            <w:vAlign w:val="center"/>
          </w:tcPr>
          <w:p w:rsidR="00801F1D" w:rsidRPr="005B5BAF" w:rsidRDefault="00801F1D" w:rsidP="00606EAC">
            <w:pPr>
              <w:contextualSpacing/>
              <w:jc w:val="left"/>
              <w:rPr>
                <w:rFonts w:asciiTheme="minorHAnsi" w:hAnsiTheme="minorHAnsi"/>
              </w:rPr>
            </w:pPr>
            <w:r w:rsidRPr="005B5BAF">
              <w:rPr>
                <w:rFonts w:asciiTheme="minorHAnsi" w:hAnsiTheme="minorHAnsi"/>
              </w:rPr>
              <w:t>Capacidades para clasificación, HDS y etiquetado</w:t>
            </w:r>
          </w:p>
        </w:tc>
        <w:tc>
          <w:tcPr>
            <w:tcW w:w="2013" w:type="dxa"/>
            <w:vAlign w:val="center"/>
          </w:tcPr>
          <w:p w:rsidR="00801F1D" w:rsidRPr="005B5BAF" w:rsidRDefault="00801F1D" w:rsidP="00606EAC">
            <w:pPr>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Existen capacidades en empresas productoras de sustancias químicas mayoritariamente. En general, mayor capacidad en etiquetado y HDS pero no en clasificación</w:t>
            </w:r>
          </w:p>
        </w:tc>
        <w:tc>
          <w:tcPr>
            <w:tcW w:w="2012" w:type="dxa"/>
            <w:vAlign w:val="center"/>
          </w:tcPr>
          <w:p w:rsidR="00801F1D" w:rsidRPr="005B5BAF" w:rsidRDefault="001C363E" w:rsidP="00606EAC">
            <w:pPr>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E</w:t>
            </w:r>
            <w:r w:rsidR="00801F1D" w:rsidRPr="005B5BAF">
              <w:rPr>
                <w:rFonts w:asciiTheme="minorHAnsi" w:hAnsiTheme="minorHAnsi"/>
              </w:rPr>
              <w:t>n general los plaguicidas son importados y vienen con esta información</w:t>
            </w:r>
            <w:r w:rsidRPr="005B5BAF">
              <w:rPr>
                <w:rFonts w:asciiTheme="minorHAnsi" w:hAnsiTheme="minorHAnsi"/>
              </w:rPr>
              <w:t xml:space="preserve"> por lo cual no ha habido la necesidad de crear capacidad</w:t>
            </w:r>
          </w:p>
        </w:tc>
        <w:tc>
          <w:tcPr>
            <w:tcW w:w="2013" w:type="dxa"/>
            <w:vAlign w:val="center"/>
          </w:tcPr>
          <w:p w:rsidR="00801F1D" w:rsidRPr="005B5BAF" w:rsidRDefault="00801F1D" w:rsidP="00606EAC">
            <w:pPr>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S/I</w:t>
            </w:r>
          </w:p>
        </w:tc>
        <w:tc>
          <w:tcPr>
            <w:tcW w:w="2013" w:type="dxa"/>
            <w:vAlign w:val="center"/>
          </w:tcPr>
          <w:p w:rsidR="00801F1D" w:rsidRPr="005B5BAF" w:rsidRDefault="00801F1D" w:rsidP="00606EAC">
            <w:pPr>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S/I</w:t>
            </w:r>
          </w:p>
        </w:tc>
      </w:tr>
      <w:tr w:rsidR="00801F1D" w:rsidRPr="00E551B0" w:rsidTr="00B605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12" w:type="dxa"/>
            <w:tcBorders>
              <w:top w:val="none" w:sz="0" w:space="0" w:color="auto"/>
              <w:left w:val="none" w:sz="0" w:space="0" w:color="auto"/>
              <w:bottom w:val="none" w:sz="0" w:space="0" w:color="auto"/>
            </w:tcBorders>
            <w:vAlign w:val="center"/>
          </w:tcPr>
          <w:p w:rsidR="00801F1D" w:rsidRPr="005B5BAF" w:rsidRDefault="00801F1D" w:rsidP="00606EAC">
            <w:pPr>
              <w:contextualSpacing/>
              <w:jc w:val="left"/>
              <w:rPr>
                <w:rFonts w:asciiTheme="minorHAnsi" w:hAnsiTheme="minorHAnsi"/>
              </w:rPr>
            </w:pPr>
            <w:r w:rsidRPr="005B5BAF">
              <w:rPr>
                <w:rFonts w:asciiTheme="minorHAnsi" w:hAnsiTheme="minorHAnsi"/>
              </w:rPr>
              <w:t>Recursos</w:t>
            </w:r>
          </w:p>
        </w:tc>
        <w:tc>
          <w:tcPr>
            <w:tcW w:w="2013" w:type="dxa"/>
            <w:tcBorders>
              <w:top w:val="none" w:sz="0" w:space="0" w:color="auto"/>
              <w:bottom w:val="none" w:sz="0" w:space="0" w:color="auto"/>
            </w:tcBorders>
            <w:vAlign w:val="center"/>
          </w:tcPr>
          <w:p w:rsidR="00801F1D" w:rsidRPr="005B5BAF" w:rsidRDefault="001C363E" w:rsidP="00606EAC">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Existen recursos e</w:t>
            </w:r>
            <w:r w:rsidR="00801F1D" w:rsidRPr="005B5BAF">
              <w:rPr>
                <w:rFonts w:asciiTheme="minorHAnsi" w:hAnsiTheme="minorHAnsi"/>
              </w:rPr>
              <w:t>nfocados principalmente en capacitación sobre comunicación de peligros</w:t>
            </w:r>
          </w:p>
        </w:tc>
        <w:tc>
          <w:tcPr>
            <w:tcW w:w="2012" w:type="dxa"/>
            <w:tcBorders>
              <w:top w:val="none" w:sz="0" w:space="0" w:color="auto"/>
              <w:bottom w:val="none" w:sz="0" w:space="0" w:color="auto"/>
            </w:tcBorders>
            <w:vAlign w:val="center"/>
          </w:tcPr>
          <w:p w:rsidR="00801F1D" w:rsidRPr="005B5BAF" w:rsidRDefault="001C363E" w:rsidP="00606EAC">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Existen recursos e</w:t>
            </w:r>
            <w:r w:rsidR="00801F1D" w:rsidRPr="005B5BAF">
              <w:rPr>
                <w:rFonts w:asciiTheme="minorHAnsi" w:hAnsiTheme="minorHAnsi"/>
              </w:rPr>
              <w:t>nfocados en capacitación sobre gestión segura de plaguicidas</w:t>
            </w:r>
          </w:p>
        </w:tc>
        <w:tc>
          <w:tcPr>
            <w:tcW w:w="2013" w:type="dxa"/>
            <w:tcBorders>
              <w:top w:val="none" w:sz="0" w:space="0" w:color="auto"/>
              <w:bottom w:val="none" w:sz="0" w:space="0" w:color="auto"/>
            </w:tcBorders>
            <w:vAlign w:val="center"/>
          </w:tcPr>
          <w:p w:rsidR="00801F1D" w:rsidRPr="005B5BAF" w:rsidRDefault="00801F1D" w:rsidP="00606EAC">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S/I</w:t>
            </w:r>
          </w:p>
        </w:tc>
        <w:tc>
          <w:tcPr>
            <w:tcW w:w="2013" w:type="dxa"/>
            <w:tcBorders>
              <w:top w:val="none" w:sz="0" w:space="0" w:color="auto"/>
              <w:bottom w:val="none" w:sz="0" w:space="0" w:color="auto"/>
              <w:right w:val="none" w:sz="0" w:space="0" w:color="auto"/>
            </w:tcBorders>
            <w:vAlign w:val="center"/>
          </w:tcPr>
          <w:p w:rsidR="00801F1D" w:rsidRPr="005B5BAF" w:rsidRDefault="00801F1D" w:rsidP="00606EAC">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S/I</w:t>
            </w:r>
          </w:p>
        </w:tc>
      </w:tr>
      <w:tr w:rsidR="00801F1D" w:rsidRPr="00E551B0" w:rsidTr="00B605B8">
        <w:tc>
          <w:tcPr>
            <w:cnfStyle w:val="001000000000" w:firstRow="0" w:lastRow="0" w:firstColumn="1" w:lastColumn="0" w:oddVBand="0" w:evenVBand="0" w:oddHBand="0" w:evenHBand="0" w:firstRowFirstColumn="0" w:firstRowLastColumn="0" w:lastRowFirstColumn="0" w:lastRowLastColumn="0"/>
            <w:tcW w:w="2012" w:type="dxa"/>
            <w:vAlign w:val="center"/>
          </w:tcPr>
          <w:p w:rsidR="00801F1D" w:rsidRPr="005B5BAF" w:rsidRDefault="00801F1D" w:rsidP="00606EAC">
            <w:pPr>
              <w:contextualSpacing/>
              <w:jc w:val="left"/>
              <w:rPr>
                <w:rFonts w:asciiTheme="minorHAnsi" w:hAnsiTheme="minorHAnsi"/>
              </w:rPr>
            </w:pPr>
            <w:r w:rsidRPr="005B5BAF">
              <w:rPr>
                <w:rFonts w:asciiTheme="minorHAnsi" w:hAnsiTheme="minorHAnsi"/>
              </w:rPr>
              <w:t>Registros de sustancias químicas</w:t>
            </w:r>
          </w:p>
        </w:tc>
        <w:tc>
          <w:tcPr>
            <w:tcW w:w="2013" w:type="dxa"/>
            <w:vAlign w:val="center"/>
          </w:tcPr>
          <w:p w:rsidR="00801F1D" w:rsidRPr="005B5BAF" w:rsidRDefault="001C363E" w:rsidP="00606EAC">
            <w:pPr>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S</w:t>
            </w:r>
            <w:r w:rsidR="00801F1D" w:rsidRPr="005B5BAF">
              <w:rPr>
                <w:rFonts w:asciiTheme="minorHAnsi" w:hAnsiTheme="minorHAnsi"/>
              </w:rPr>
              <w:t xml:space="preserve">ólo </w:t>
            </w:r>
            <w:r w:rsidRPr="005B5BAF">
              <w:rPr>
                <w:rFonts w:asciiTheme="minorHAnsi" w:hAnsiTheme="minorHAnsi"/>
              </w:rPr>
              <w:t xml:space="preserve">existen registros </w:t>
            </w:r>
            <w:r w:rsidR="00801F1D" w:rsidRPr="005B5BAF">
              <w:rPr>
                <w:rFonts w:asciiTheme="minorHAnsi" w:hAnsiTheme="minorHAnsi"/>
              </w:rPr>
              <w:t>para Sustancias Controladas (SENDA, Aduanas</w:t>
            </w:r>
            <w:r w:rsidR="00801F1D" w:rsidRPr="005B5BAF">
              <w:rPr>
                <w:rStyle w:val="FootnoteReference"/>
                <w:rFonts w:asciiTheme="minorHAnsi" w:hAnsiTheme="minorHAnsi"/>
              </w:rPr>
              <w:footnoteReference w:id="22"/>
            </w:r>
            <w:r w:rsidR="00801F1D" w:rsidRPr="005B5BAF">
              <w:rPr>
                <w:rFonts w:asciiTheme="minorHAnsi" w:hAnsiTheme="minorHAnsi"/>
              </w:rPr>
              <w:t>)</w:t>
            </w:r>
          </w:p>
        </w:tc>
        <w:tc>
          <w:tcPr>
            <w:tcW w:w="2012" w:type="dxa"/>
            <w:vAlign w:val="center"/>
          </w:tcPr>
          <w:p w:rsidR="00801F1D" w:rsidRPr="005B5BAF" w:rsidRDefault="001C363E" w:rsidP="00606EAC">
            <w:pPr>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 xml:space="preserve">Existen registros </w:t>
            </w:r>
            <w:r w:rsidR="00801F1D" w:rsidRPr="005B5BAF">
              <w:rPr>
                <w:rFonts w:asciiTheme="minorHAnsi" w:hAnsiTheme="minorHAnsi"/>
              </w:rPr>
              <w:t>para plaguicidas de uso agrícola (SAG)</w:t>
            </w:r>
          </w:p>
        </w:tc>
        <w:tc>
          <w:tcPr>
            <w:tcW w:w="2013" w:type="dxa"/>
            <w:vAlign w:val="center"/>
          </w:tcPr>
          <w:p w:rsidR="00801F1D" w:rsidRPr="005B5BAF" w:rsidRDefault="00B605B8" w:rsidP="00606EAC">
            <w:pPr>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Existen registros de empresas que transportan residuos peligrosos</w:t>
            </w:r>
          </w:p>
        </w:tc>
        <w:tc>
          <w:tcPr>
            <w:tcW w:w="2013" w:type="dxa"/>
            <w:vAlign w:val="center"/>
          </w:tcPr>
          <w:p w:rsidR="00801F1D" w:rsidRPr="005B5BAF" w:rsidRDefault="001C363E" w:rsidP="00606EAC">
            <w:pPr>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 xml:space="preserve">Existe </w:t>
            </w:r>
            <w:r w:rsidR="00801F1D" w:rsidRPr="005B5BAF">
              <w:rPr>
                <w:rFonts w:asciiTheme="minorHAnsi" w:hAnsiTheme="minorHAnsi"/>
              </w:rPr>
              <w:t>reg</w:t>
            </w:r>
            <w:r w:rsidR="00B605B8" w:rsidRPr="005B5BAF">
              <w:rPr>
                <w:rFonts w:asciiTheme="minorHAnsi" w:hAnsiTheme="minorHAnsi"/>
              </w:rPr>
              <w:t>istro de plaguicidas de uso domé</w:t>
            </w:r>
            <w:r w:rsidR="00801F1D" w:rsidRPr="005B5BAF">
              <w:rPr>
                <w:rFonts w:asciiTheme="minorHAnsi" w:hAnsiTheme="minorHAnsi"/>
              </w:rPr>
              <w:t>stico y sanitario</w:t>
            </w:r>
            <w:r w:rsidR="00801F1D" w:rsidRPr="005B5BAF">
              <w:rPr>
                <w:rStyle w:val="FootnoteReference"/>
                <w:rFonts w:asciiTheme="minorHAnsi" w:hAnsiTheme="minorHAnsi"/>
              </w:rPr>
              <w:footnoteReference w:id="23"/>
            </w:r>
          </w:p>
        </w:tc>
      </w:tr>
      <w:tr w:rsidR="00801F1D" w:rsidRPr="00E551B0" w:rsidTr="00B605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12" w:type="dxa"/>
            <w:tcBorders>
              <w:top w:val="none" w:sz="0" w:space="0" w:color="auto"/>
              <w:left w:val="none" w:sz="0" w:space="0" w:color="auto"/>
              <w:bottom w:val="none" w:sz="0" w:space="0" w:color="auto"/>
            </w:tcBorders>
            <w:vAlign w:val="center"/>
          </w:tcPr>
          <w:p w:rsidR="00801F1D" w:rsidRPr="005B5BAF" w:rsidRDefault="00801F1D" w:rsidP="00606EAC">
            <w:pPr>
              <w:contextualSpacing/>
              <w:jc w:val="left"/>
              <w:rPr>
                <w:rFonts w:asciiTheme="minorHAnsi" w:hAnsiTheme="minorHAnsi"/>
              </w:rPr>
            </w:pPr>
            <w:r w:rsidRPr="005B5BAF">
              <w:rPr>
                <w:rFonts w:asciiTheme="minorHAnsi" w:hAnsiTheme="minorHAnsi"/>
              </w:rPr>
              <w:t>Difusión del GHS</w:t>
            </w:r>
          </w:p>
        </w:tc>
        <w:tc>
          <w:tcPr>
            <w:tcW w:w="2013" w:type="dxa"/>
            <w:tcBorders>
              <w:top w:val="none" w:sz="0" w:space="0" w:color="auto"/>
              <w:bottom w:val="none" w:sz="0" w:space="0" w:color="auto"/>
            </w:tcBorders>
            <w:vAlign w:val="center"/>
          </w:tcPr>
          <w:p w:rsidR="00801F1D" w:rsidRPr="005B5BAF" w:rsidRDefault="001C363E" w:rsidP="00606EAC">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Se realiza a través de cursos y capacitaciones para trabajadores</w:t>
            </w:r>
          </w:p>
        </w:tc>
        <w:tc>
          <w:tcPr>
            <w:tcW w:w="2012" w:type="dxa"/>
            <w:tcBorders>
              <w:top w:val="none" w:sz="0" w:space="0" w:color="auto"/>
              <w:bottom w:val="none" w:sz="0" w:space="0" w:color="auto"/>
            </w:tcBorders>
            <w:vAlign w:val="center"/>
          </w:tcPr>
          <w:p w:rsidR="00801F1D" w:rsidRPr="005B5BAF" w:rsidRDefault="001C363E" w:rsidP="00606EAC">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Se realiza a través de cursos y capacitaciones para trabajadores</w:t>
            </w:r>
          </w:p>
        </w:tc>
        <w:tc>
          <w:tcPr>
            <w:tcW w:w="2013" w:type="dxa"/>
            <w:tcBorders>
              <w:top w:val="none" w:sz="0" w:space="0" w:color="auto"/>
              <w:bottom w:val="none" w:sz="0" w:space="0" w:color="auto"/>
            </w:tcBorders>
            <w:vAlign w:val="center"/>
          </w:tcPr>
          <w:p w:rsidR="00801F1D" w:rsidRPr="005B5BAF" w:rsidRDefault="00801F1D" w:rsidP="00606EAC">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S/I</w:t>
            </w:r>
          </w:p>
        </w:tc>
        <w:tc>
          <w:tcPr>
            <w:tcW w:w="2013" w:type="dxa"/>
            <w:tcBorders>
              <w:top w:val="none" w:sz="0" w:space="0" w:color="auto"/>
              <w:bottom w:val="none" w:sz="0" w:space="0" w:color="auto"/>
              <w:right w:val="none" w:sz="0" w:space="0" w:color="auto"/>
            </w:tcBorders>
            <w:vAlign w:val="center"/>
          </w:tcPr>
          <w:p w:rsidR="00801F1D" w:rsidRPr="005B5BAF" w:rsidRDefault="001C363E" w:rsidP="00606EAC">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No se ha observado el desarrollo de esta actividad</w:t>
            </w:r>
          </w:p>
        </w:tc>
      </w:tr>
    </w:tbl>
    <w:p w:rsidR="00801F1D" w:rsidRPr="005B5BAF" w:rsidRDefault="00801F1D" w:rsidP="00606EAC">
      <w:pPr>
        <w:contextualSpacing/>
        <w:jc w:val="center"/>
        <w:rPr>
          <w:b/>
          <w:sz w:val="22"/>
          <w:szCs w:val="22"/>
        </w:rPr>
      </w:pPr>
      <w:r w:rsidRPr="005B5BAF">
        <w:rPr>
          <w:b/>
          <w:sz w:val="22"/>
          <w:szCs w:val="22"/>
        </w:rPr>
        <w:t xml:space="preserve">Tabla </w:t>
      </w:r>
      <w:r w:rsidR="00F13083">
        <w:rPr>
          <w:b/>
          <w:sz w:val="22"/>
          <w:szCs w:val="22"/>
        </w:rPr>
        <w:t>15</w:t>
      </w:r>
      <w:r w:rsidRPr="005B5BAF">
        <w:rPr>
          <w:b/>
          <w:sz w:val="22"/>
          <w:szCs w:val="22"/>
        </w:rPr>
        <w:t xml:space="preserve">: Resumen de Análisis de Vacíos en los 4 sectores de interés </w:t>
      </w:r>
    </w:p>
    <w:tbl>
      <w:tblPr>
        <w:tblStyle w:val="Listaclara-nfasis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2028"/>
        <w:gridCol w:w="2028"/>
        <w:gridCol w:w="2028"/>
        <w:gridCol w:w="2028"/>
      </w:tblGrid>
      <w:tr w:rsidR="00801F1D" w:rsidRPr="005B5BAF" w:rsidTr="00B605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7" w:type="dxa"/>
            <w:vAlign w:val="center"/>
          </w:tcPr>
          <w:p w:rsidR="00801F1D" w:rsidRPr="005B5BAF" w:rsidRDefault="00801F1D" w:rsidP="00606EAC">
            <w:pPr>
              <w:contextualSpacing/>
              <w:jc w:val="center"/>
              <w:rPr>
                <w:rFonts w:asciiTheme="minorHAnsi" w:hAnsiTheme="minorHAnsi"/>
              </w:rPr>
            </w:pPr>
            <w:r w:rsidRPr="005B5BAF">
              <w:rPr>
                <w:rFonts w:asciiTheme="minorHAnsi" w:hAnsiTheme="minorHAnsi"/>
              </w:rPr>
              <w:t>Aspecto</w:t>
            </w:r>
          </w:p>
        </w:tc>
        <w:tc>
          <w:tcPr>
            <w:tcW w:w="2028" w:type="dxa"/>
            <w:vAlign w:val="center"/>
          </w:tcPr>
          <w:p w:rsidR="00801F1D" w:rsidRPr="005B5BAF" w:rsidRDefault="00801F1D" w:rsidP="00606EAC">
            <w:pPr>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Industria</w:t>
            </w:r>
          </w:p>
        </w:tc>
        <w:tc>
          <w:tcPr>
            <w:tcW w:w="2028" w:type="dxa"/>
            <w:vAlign w:val="center"/>
          </w:tcPr>
          <w:p w:rsidR="00801F1D" w:rsidRPr="005B5BAF" w:rsidRDefault="00801F1D" w:rsidP="00606EAC">
            <w:pPr>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Agricultura</w:t>
            </w:r>
          </w:p>
        </w:tc>
        <w:tc>
          <w:tcPr>
            <w:tcW w:w="2028" w:type="dxa"/>
            <w:vAlign w:val="center"/>
          </w:tcPr>
          <w:p w:rsidR="00801F1D" w:rsidRPr="005B5BAF" w:rsidRDefault="00801F1D" w:rsidP="00606EAC">
            <w:pPr>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Transporte</w:t>
            </w:r>
          </w:p>
        </w:tc>
        <w:tc>
          <w:tcPr>
            <w:tcW w:w="2028" w:type="dxa"/>
            <w:vAlign w:val="center"/>
          </w:tcPr>
          <w:p w:rsidR="00801F1D" w:rsidRPr="005B5BAF" w:rsidRDefault="00801F1D" w:rsidP="00606EAC">
            <w:pPr>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Consumidor</w:t>
            </w:r>
          </w:p>
        </w:tc>
      </w:tr>
      <w:tr w:rsidR="00801F1D" w:rsidRPr="005B5BAF" w:rsidTr="00191F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7" w:type="dxa"/>
            <w:tcBorders>
              <w:top w:val="none" w:sz="0" w:space="0" w:color="auto"/>
              <w:left w:val="none" w:sz="0" w:space="0" w:color="auto"/>
              <w:bottom w:val="none" w:sz="0" w:space="0" w:color="auto"/>
            </w:tcBorders>
            <w:vAlign w:val="center"/>
          </w:tcPr>
          <w:p w:rsidR="00801F1D" w:rsidRPr="005B5BAF" w:rsidRDefault="00801F1D" w:rsidP="00191F4B">
            <w:pPr>
              <w:jc w:val="left"/>
              <w:rPr>
                <w:rFonts w:asciiTheme="minorHAnsi" w:hAnsiTheme="minorHAnsi"/>
              </w:rPr>
            </w:pPr>
            <w:r w:rsidRPr="005B5BAF">
              <w:rPr>
                <w:rFonts w:asciiTheme="minorHAnsi" w:hAnsiTheme="minorHAnsi"/>
              </w:rPr>
              <w:t>Legislación sobre clasificación, etiquetado y HDS</w:t>
            </w:r>
          </w:p>
        </w:tc>
        <w:tc>
          <w:tcPr>
            <w:tcW w:w="2028" w:type="dxa"/>
            <w:tcBorders>
              <w:top w:val="none" w:sz="0" w:space="0" w:color="auto"/>
              <w:bottom w:val="none" w:sz="0" w:space="0" w:color="auto"/>
            </w:tcBorders>
            <w:vAlign w:val="center"/>
          </w:tcPr>
          <w:p w:rsidR="00801F1D" w:rsidRPr="005B5BAF" w:rsidRDefault="00801F1D" w:rsidP="00606EA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lang w:val="es-ES"/>
              </w:rPr>
            </w:pPr>
            <w:r w:rsidRPr="005B5BAF">
              <w:rPr>
                <w:rFonts w:asciiTheme="minorHAnsi" w:hAnsiTheme="minorHAnsi"/>
                <w:lang w:val="es-ES"/>
              </w:rPr>
              <w:t>Existen vacíos en legislación actual, principalmente se observan brechas en temas de etiquetado y HDS</w:t>
            </w:r>
          </w:p>
          <w:p w:rsidR="00801F1D" w:rsidRPr="005B5BAF" w:rsidRDefault="00801F1D" w:rsidP="00606EA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70C0"/>
                <w:lang w:val="es-ES"/>
              </w:rPr>
            </w:pPr>
          </w:p>
        </w:tc>
        <w:tc>
          <w:tcPr>
            <w:tcW w:w="2028" w:type="dxa"/>
            <w:tcBorders>
              <w:top w:val="none" w:sz="0" w:space="0" w:color="auto"/>
              <w:bottom w:val="none" w:sz="0" w:space="0" w:color="auto"/>
            </w:tcBorders>
            <w:vAlign w:val="center"/>
          </w:tcPr>
          <w:p w:rsidR="00801F1D" w:rsidRPr="005B5BAF" w:rsidRDefault="00801F1D" w:rsidP="00606EA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Existen vacíos normativos mayoritariamente en temas de HDS</w:t>
            </w:r>
          </w:p>
        </w:tc>
        <w:tc>
          <w:tcPr>
            <w:tcW w:w="2028" w:type="dxa"/>
            <w:tcBorders>
              <w:top w:val="none" w:sz="0" w:space="0" w:color="auto"/>
              <w:bottom w:val="none" w:sz="0" w:space="0" w:color="auto"/>
            </w:tcBorders>
            <w:vAlign w:val="center"/>
          </w:tcPr>
          <w:p w:rsidR="00801F1D" w:rsidRPr="005B5BAF" w:rsidRDefault="00801F1D" w:rsidP="00606EA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 xml:space="preserve">No existirían brechas, pues este sector </w:t>
            </w:r>
            <w:r w:rsidR="00EE3CCF" w:rsidRPr="005B5BAF">
              <w:rPr>
                <w:rFonts w:asciiTheme="minorHAnsi" w:hAnsiTheme="minorHAnsi"/>
              </w:rPr>
              <w:t>se regula</w:t>
            </w:r>
            <w:r w:rsidRPr="005B5BAF">
              <w:rPr>
                <w:rFonts w:asciiTheme="minorHAnsi" w:hAnsiTheme="minorHAnsi"/>
              </w:rPr>
              <w:t xml:space="preserve"> de acuerdo a la Reglamentación Modelo y a Normas internacionales de transporte, donde no se ha decidido la adopción del GHS aún.</w:t>
            </w:r>
          </w:p>
          <w:p w:rsidR="00801F1D" w:rsidRPr="005B5BAF" w:rsidRDefault="00801F1D" w:rsidP="00606EA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Si se quisiera adoptar el siste</w:t>
            </w:r>
            <w:r w:rsidR="001C363E" w:rsidRPr="005B5BAF">
              <w:rPr>
                <w:rFonts w:asciiTheme="minorHAnsi" w:hAnsiTheme="minorHAnsi"/>
              </w:rPr>
              <w:t>ma GHS, existirían brechas de</w:t>
            </w:r>
            <w:r w:rsidRPr="005B5BAF">
              <w:rPr>
                <w:rFonts w:asciiTheme="minorHAnsi" w:hAnsiTheme="minorHAnsi"/>
              </w:rPr>
              <w:t xml:space="preserve"> legislación que consideren las d</w:t>
            </w:r>
            <w:r w:rsidR="001C363E" w:rsidRPr="005B5BAF">
              <w:rPr>
                <w:rFonts w:asciiTheme="minorHAnsi" w:hAnsiTheme="minorHAnsi"/>
              </w:rPr>
              <w:t>isposiciones del nuevo sistema</w:t>
            </w:r>
          </w:p>
        </w:tc>
        <w:tc>
          <w:tcPr>
            <w:tcW w:w="2028" w:type="dxa"/>
            <w:tcBorders>
              <w:top w:val="none" w:sz="0" w:space="0" w:color="auto"/>
              <w:bottom w:val="none" w:sz="0" w:space="0" w:color="auto"/>
              <w:right w:val="none" w:sz="0" w:space="0" w:color="auto"/>
            </w:tcBorders>
            <w:vAlign w:val="center"/>
          </w:tcPr>
          <w:p w:rsidR="00801F1D" w:rsidRPr="005B5BAF" w:rsidRDefault="00801F1D" w:rsidP="00606EA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Existen vacíos en los temas de clasificación, etiquetado y HDS</w:t>
            </w:r>
          </w:p>
        </w:tc>
      </w:tr>
      <w:tr w:rsidR="00B605B8" w:rsidRPr="005B5BAF" w:rsidTr="00191F4B">
        <w:tc>
          <w:tcPr>
            <w:cnfStyle w:val="001000000000" w:firstRow="0" w:lastRow="0" w:firstColumn="1" w:lastColumn="0" w:oddVBand="0" w:evenVBand="0" w:oddHBand="0" w:evenHBand="0" w:firstRowFirstColumn="0" w:firstRowLastColumn="0" w:lastRowFirstColumn="0" w:lastRowLastColumn="0"/>
            <w:tcW w:w="2027" w:type="dxa"/>
            <w:vAlign w:val="center"/>
          </w:tcPr>
          <w:p w:rsidR="00B605B8" w:rsidRPr="005B5BAF" w:rsidRDefault="00B605B8" w:rsidP="00191F4B">
            <w:pPr>
              <w:jc w:val="left"/>
              <w:rPr>
                <w:rFonts w:asciiTheme="minorHAnsi" w:hAnsiTheme="minorHAnsi"/>
              </w:rPr>
            </w:pPr>
            <w:r w:rsidRPr="005B5BAF">
              <w:rPr>
                <w:rFonts w:asciiTheme="minorHAnsi" w:hAnsiTheme="minorHAnsi"/>
              </w:rPr>
              <w:t>Formación sobre GHS</w:t>
            </w:r>
          </w:p>
        </w:tc>
        <w:tc>
          <w:tcPr>
            <w:tcW w:w="2028" w:type="dxa"/>
            <w:vAlign w:val="center"/>
          </w:tcPr>
          <w:p w:rsidR="00B605B8" w:rsidRPr="005B5BAF" w:rsidRDefault="00B605B8" w:rsidP="00606EA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Existen brechas respecto a inexistencia de programa formal de formación/</w:t>
            </w:r>
            <w:r w:rsidR="00191F4B">
              <w:rPr>
                <w:rFonts w:asciiTheme="minorHAnsi" w:hAnsiTheme="minorHAnsi"/>
              </w:rPr>
              <w:t xml:space="preserve"> </w:t>
            </w:r>
            <w:r w:rsidRPr="005B5BAF">
              <w:rPr>
                <w:rFonts w:asciiTheme="minorHAnsi" w:hAnsiTheme="minorHAnsi"/>
              </w:rPr>
              <w:t>capacitación donde se abarque la mayor cantidad de interesados y que incluya un análisis crítico de la eficacia de los talleres o actividades que se han desarrollado o se desarrollen a futuro</w:t>
            </w:r>
          </w:p>
        </w:tc>
        <w:tc>
          <w:tcPr>
            <w:tcW w:w="2028" w:type="dxa"/>
            <w:vAlign w:val="center"/>
          </w:tcPr>
          <w:p w:rsidR="00B605B8" w:rsidRPr="005B5BAF" w:rsidRDefault="00B605B8" w:rsidP="00606EA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Ídem anterior</w:t>
            </w:r>
          </w:p>
        </w:tc>
        <w:tc>
          <w:tcPr>
            <w:tcW w:w="2028" w:type="dxa"/>
            <w:vAlign w:val="center"/>
          </w:tcPr>
          <w:p w:rsidR="00B605B8" w:rsidRPr="005B5BAF" w:rsidRDefault="00B605B8" w:rsidP="00606EA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Ídem anterior</w:t>
            </w:r>
          </w:p>
        </w:tc>
        <w:tc>
          <w:tcPr>
            <w:tcW w:w="2028" w:type="dxa"/>
            <w:vAlign w:val="center"/>
          </w:tcPr>
          <w:p w:rsidR="00B605B8" w:rsidRPr="005B5BAF" w:rsidRDefault="00B605B8" w:rsidP="00606EA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Ídem anterior</w:t>
            </w:r>
          </w:p>
        </w:tc>
      </w:tr>
      <w:tr w:rsidR="00B605B8" w:rsidRPr="005B5BAF" w:rsidTr="00191F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7" w:type="dxa"/>
            <w:tcBorders>
              <w:top w:val="none" w:sz="0" w:space="0" w:color="auto"/>
              <w:left w:val="none" w:sz="0" w:space="0" w:color="auto"/>
              <w:bottom w:val="none" w:sz="0" w:space="0" w:color="auto"/>
            </w:tcBorders>
            <w:vAlign w:val="center"/>
          </w:tcPr>
          <w:p w:rsidR="00B605B8" w:rsidRPr="005B5BAF" w:rsidRDefault="00B605B8" w:rsidP="00191F4B">
            <w:pPr>
              <w:jc w:val="left"/>
              <w:rPr>
                <w:rFonts w:asciiTheme="minorHAnsi" w:hAnsiTheme="minorHAnsi"/>
              </w:rPr>
            </w:pPr>
            <w:r w:rsidRPr="005B5BAF">
              <w:rPr>
                <w:rFonts w:asciiTheme="minorHAnsi" w:hAnsiTheme="minorHAnsi"/>
              </w:rPr>
              <w:t>Concienciación sobre GHS</w:t>
            </w:r>
          </w:p>
        </w:tc>
        <w:tc>
          <w:tcPr>
            <w:tcW w:w="2028" w:type="dxa"/>
            <w:tcBorders>
              <w:top w:val="none" w:sz="0" w:space="0" w:color="auto"/>
              <w:bottom w:val="none" w:sz="0" w:space="0" w:color="auto"/>
            </w:tcBorders>
            <w:vAlign w:val="center"/>
          </w:tcPr>
          <w:p w:rsidR="00B605B8" w:rsidRPr="005B5BAF" w:rsidRDefault="00B605B8" w:rsidP="00606EA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Existen brechas en todo el sector pero principalmente en pymes</w:t>
            </w:r>
          </w:p>
        </w:tc>
        <w:tc>
          <w:tcPr>
            <w:tcW w:w="2028" w:type="dxa"/>
            <w:tcBorders>
              <w:top w:val="none" w:sz="0" w:space="0" w:color="auto"/>
              <w:bottom w:val="none" w:sz="0" w:space="0" w:color="auto"/>
            </w:tcBorders>
            <w:vAlign w:val="center"/>
          </w:tcPr>
          <w:p w:rsidR="00B605B8" w:rsidRPr="005B5BAF" w:rsidRDefault="00B605B8" w:rsidP="00606EA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Existen mínimas brechas sobre forma de implementación del GHS en el sector</w:t>
            </w:r>
          </w:p>
        </w:tc>
        <w:tc>
          <w:tcPr>
            <w:tcW w:w="2028" w:type="dxa"/>
            <w:tcBorders>
              <w:top w:val="none" w:sz="0" w:space="0" w:color="auto"/>
              <w:bottom w:val="none" w:sz="0" w:space="0" w:color="auto"/>
            </w:tcBorders>
            <w:vAlign w:val="center"/>
          </w:tcPr>
          <w:p w:rsidR="00B605B8" w:rsidRPr="005B5BAF" w:rsidRDefault="00B605B8" w:rsidP="00606EAC">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Existe brecha importante porque no se ha logrado abarcar estos sectores en actividades de concienciación</w:t>
            </w:r>
          </w:p>
        </w:tc>
        <w:tc>
          <w:tcPr>
            <w:tcW w:w="2028" w:type="dxa"/>
            <w:tcBorders>
              <w:top w:val="none" w:sz="0" w:space="0" w:color="auto"/>
              <w:bottom w:val="none" w:sz="0" w:space="0" w:color="auto"/>
              <w:right w:val="none" w:sz="0" w:space="0" w:color="auto"/>
            </w:tcBorders>
            <w:vAlign w:val="center"/>
          </w:tcPr>
          <w:p w:rsidR="00B605B8" w:rsidRPr="005B5BAF" w:rsidRDefault="00B605B8" w:rsidP="00606EAC">
            <w:pPr>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Existe brecha importante porque no se ha logrado abarcar estos sectores en actividades de concienciación</w:t>
            </w:r>
          </w:p>
        </w:tc>
      </w:tr>
      <w:tr w:rsidR="00B605B8" w:rsidRPr="005B5BAF" w:rsidTr="00B62D8D">
        <w:tc>
          <w:tcPr>
            <w:cnfStyle w:val="001000000000" w:firstRow="0" w:lastRow="0" w:firstColumn="1" w:lastColumn="0" w:oddVBand="0" w:evenVBand="0" w:oddHBand="0" w:evenHBand="0" w:firstRowFirstColumn="0" w:firstRowLastColumn="0" w:lastRowFirstColumn="0" w:lastRowLastColumn="0"/>
            <w:tcW w:w="2027" w:type="dxa"/>
            <w:vAlign w:val="center"/>
          </w:tcPr>
          <w:p w:rsidR="00B605B8" w:rsidRPr="005B5BAF" w:rsidRDefault="00B605B8" w:rsidP="00B62D8D">
            <w:pPr>
              <w:jc w:val="left"/>
              <w:rPr>
                <w:rFonts w:asciiTheme="minorHAnsi" w:hAnsiTheme="minorHAnsi"/>
              </w:rPr>
            </w:pPr>
            <w:r w:rsidRPr="005B5BAF">
              <w:rPr>
                <w:rFonts w:asciiTheme="minorHAnsi" w:hAnsiTheme="minorHAnsi"/>
              </w:rPr>
              <w:t>Capacidades para clasificación, HDS y etiquetado según GHS</w:t>
            </w:r>
          </w:p>
        </w:tc>
        <w:tc>
          <w:tcPr>
            <w:tcW w:w="2028" w:type="dxa"/>
            <w:vAlign w:val="center"/>
          </w:tcPr>
          <w:p w:rsidR="00B605B8" w:rsidRPr="005B5BAF" w:rsidRDefault="00B605B8" w:rsidP="00606EA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Existen brechas en todo el sector sobre todo en temas de HDS, siendo más agudas en la</w:t>
            </w:r>
            <w:r w:rsidR="00EE3CCF" w:rsidRPr="005B5BAF">
              <w:rPr>
                <w:rFonts w:asciiTheme="minorHAnsi" w:hAnsiTheme="minorHAnsi"/>
              </w:rPr>
              <w:t>s pymes por su menor capacidad.</w:t>
            </w:r>
          </w:p>
          <w:p w:rsidR="00B605B8" w:rsidRPr="005B5BAF" w:rsidRDefault="00B605B8" w:rsidP="00606EA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 xml:space="preserve">Son pocas las empresas que tienen capacidades o </w:t>
            </w:r>
            <w:r w:rsidR="00EE3CCF" w:rsidRPr="005B5BAF">
              <w:rPr>
                <w:rFonts w:asciiTheme="minorHAnsi" w:hAnsiTheme="minorHAnsi"/>
              </w:rPr>
              <w:t xml:space="preserve">han </w:t>
            </w:r>
            <w:r w:rsidRPr="005B5BAF">
              <w:rPr>
                <w:rFonts w:asciiTheme="minorHAnsi" w:hAnsiTheme="minorHAnsi"/>
              </w:rPr>
              <w:t>implementado el sistema. Existe una baja capacidad analítica</w:t>
            </w:r>
          </w:p>
        </w:tc>
        <w:tc>
          <w:tcPr>
            <w:tcW w:w="2028" w:type="dxa"/>
            <w:vAlign w:val="center"/>
          </w:tcPr>
          <w:p w:rsidR="00B605B8" w:rsidRPr="005B5BAF" w:rsidRDefault="00B605B8" w:rsidP="00606EA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70C0"/>
              </w:rPr>
            </w:pPr>
            <w:r w:rsidRPr="005B5BAF">
              <w:rPr>
                <w:rFonts w:asciiTheme="minorHAnsi" w:hAnsiTheme="minorHAnsi"/>
              </w:rPr>
              <w:t>Existirían brechas en la capacidad si los productos importados no llegaran con sistema GHS, sin embargo, el sector estaría más preparado para realizar los cambios para los registros puesto que cuentan con capacidad base importante</w:t>
            </w:r>
          </w:p>
        </w:tc>
        <w:tc>
          <w:tcPr>
            <w:tcW w:w="2028" w:type="dxa"/>
            <w:vAlign w:val="center"/>
          </w:tcPr>
          <w:p w:rsidR="00B605B8" w:rsidRPr="005B5BAF" w:rsidRDefault="00B605B8" w:rsidP="00606EAC">
            <w:pPr>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Actualmente no tiene brechas (cumple con Reglamentación Modelo)</w:t>
            </w:r>
          </w:p>
          <w:p w:rsidR="00B605B8" w:rsidRPr="005B5BAF" w:rsidRDefault="00B605B8" w:rsidP="00606EAC">
            <w:pPr>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p>
          <w:p w:rsidR="00B605B8" w:rsidRPr="005B5BAF" w:rsidRDefault="00B605B8" w:rsidP="00606EAC">
            <w:pPr>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Se presentarían vacíos en las capacidades en caso de implementar el GHS pero estaría mejor preparado dada su</w:t>
            </w:r>
            <w:r w:rsidRPr="005B5BAF">
              <w:rPr>
                <w:rFonts w:asciiTheme="minorHAnsi" w:hAnsiTheme="minorHAnsi"/>
                <w:color w:val="0070C0"/>
              </w:rPr>
              <w:t xml:space="preserve"> </w:t>
            </w:r>
            <w:r w:rsidRPr="005B5BAF">
              <w:rPr>
                <w:rFonts w:asciiTheme="minorHAnsi" w:hAnsiTheme="minorHAnsi"/>
              </w:rPr>
              <w:t>capacidad base actual</w:t>
            </w:r>
          </w:p>
        </w:tc>
        <w:tc>
          <w:tcPr>
            <w:tcW w:w="2028" w:type="dxa"/>
            <w:vAlign w:val="center"/>
          </w:tcPr>
          <w:p w:rsidR="00B605B8" w:rsidRPr="005B5BAF" w:rsidRDefault="00B605B8" w:rsidP="00606EA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No existen capacidades en este sector</w:t>
            </w:r>
          </w:p>
        </w:tc>
      </w:tr>
      <w:tr w:rsidR="00B605B8" w:rsidRPr="005B5BAF" w:rsidTr="00191F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7" w:type="dxa"/>
            <w:tcBorders>
              <w:top w:val="none" w:sz="0" w:space="0" w:color="auto"/>
              <w:left w:val="none" w:sz="0" w:space="0" w:color="auto"/>
              <w:bottom w:val="none" w:sz="0" w:space="0" w:color="auto"/>
            </w:tcBorders>
            <w:vAlign w:val="center"/>
          </w:tcPr>
          <w:p w:rsidR="00B605B8" w:rsidRPr="005B5BAF" w:rsidRDefault="00B605B8" w:rsidP="00191F4B">
            <w:pPr>
              <w:jc w:val="left"/>
              <w:rPr>
                <w:rFonts w:asciiTheme="minorHAnsi" w:hAnsiTheme="minorHAnsi"/>
              </w:rPr>
            </w:pPr>
            <w:r w:rsidRPr="005B5BAF">
              <w:rPr>
                <w:rFonts w:asciiTheme="minorHAnsi" w:hAnsiTheme="minorHAnsi"/>
              </w:rPr>
              <w:t>Recursos para implementación de GHS</w:t>
            </w:r>
          </w:p>
        </w:tc>
        <w:tc>
          <w:tcPr>
            <w:tcW w:w="2028" w:type="dxa"/>
            <w:tcBorders>
              <w:top w:val="none" w:sz="0" w:space="0" w:color="auto"/>
              <w:bottom w:val="none" w:sz="0" w:space="0" w:color="auto"/>
            </w:tcBorders>
            <w:vAlign w:val="center"/>
          </w:tcPr>
          <w:p w:rsidR="00B605B8" w:rsidRPr="005B5BAF" w:rsidRDefault="00B605B8" w:rsidP="00606EA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Existen brechas en temas de recursos para varios ítems:                 i) Capacitaciones sobre comunicación de peligros a trabajadores</w:t>
            </w:r>
          </w:p>
          <w:p w:rsidR="00B605B8" w:rsidRPr="005B5BAF" w:rsidRDefault="00B605B8" w:rsidP="00606EA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ii) Realización de análisis requeridos para clasificar en el extranjero (por baja capacidad analítica en el país)</w:t>
            </w:r>
          </w:p>
          <w:p w:rsidR="00B605B8" w:rsidRPr="005B5BAF" w:rsidRDefault="00B605B8" w:rsidP="00606EA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70C0"/>
              </w:rPr>
            </w:pPr>
            <w:r w:rsidRPr="005B5BAF">
              <w:rPr>
                <w:rFonts w:asciiTheme="minorHAnsi" w:hAnsiTheme="minorHAnsi"/>
              </w:rPr>
              <w:t>iii) Actividades de implementación del GHS (cambios de etiquetas, HDS, etc.)</w:t>
            </w:r>
          </w:p>
        </w:tc>
        <w:tc>
          <w:tcPr>
            <w:tcW w:w="2028" w:type="dxa"/>
            <w:tcBorders>
              <w:top w:val="none" w:sz="0" w:space="0" w:color="auto"/>
              <w:bottom w:val="none" w:sz="0" w:space="0" w:color="auto"/>
            </w:tcBorders>
            <w:vAlign w:val="center"/>
          </w:tcPr>
          <w:p w:rsidR="00B605B8" w:rsidRPr="005B5BAF" w:rsidRDefault="00B605B8" w:rsidP="00606EA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Ídem anterior</w:t>
            </w:r>
          </w:p>
        </w:tc>
        <w:tc>
          <w:tcPr>
            <w:tcW w:w="2028" w:type="dxa"/>
            <w:tcBorders>
              <w:top w:val="none" w:sz="0" w:space="0" w:color="auto"/>
              <w:bottom w:val="none" w:sz="0" w:space="0" w:color="auto"/>
            </w:tcBorders>
            <w:vAlign w:val="center"/>
          </w:tcPr>
          <w:p w:rsidR="00B605B8" w:rsidRPr="005B5BAF" w:rsidRDefault="00B605B8" w:rsidP="00606EA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Ídem anterior</w:t>
            </w:r>
          </w:p>
        </w:tc>
        <w:tc>
          <w:tcPr>
            <w:tcW w:w="2028" w:type="dxa"/>
            <w:tcBorders>
              <w:top w:val="none" w:sz="0" w:space="0" w:color="auto"/>
              <w:bottom w:val="none" w:sz="0" w:space="0" w:color="auto"/>
              <w:right w:val="none" w:sz="0" w:space="0" w:color="auto"/>
            </w:tcBorders>
            <w:vAlign w:val="center"/>
          </w:tcPr>
          <w:p w:rsidR="00B605B8" w:rsidRPr="005B5BAF" w:rsidRDefault="00B605B8" w:rsidP="00606EA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Ídem anterior</w:t>
            </w:r>
          </w:p>
        </w:tc>
      </w:tr>
      <w:tr w:rsidR="00B605B8" w:rsidRPr="005B5BAF" w:rsidTr="00191F4B">
        <w:tc>
          <w:tcPr>
            <w:cnfStyle w:val="001000000000" w:firstRow="0" w:lastRow="0" w:firstColumn="1" w:lastColumn="0" w:oddVBand="0" w:evenVBand="0" w:oddHBand="0" w:evenHBand="0" w:firstRowFirstColumn="0" w:firstRowLastColumn="0" w:lastRowFirstColumn="0" w:lastRowLastColumn="0"/>
            <w:tcW w:w="2027" w:type="dxa"/>
            <w:vAlign w:val="center"/>
          </w:tcPr>
          <w:p w:rsidR="00B605B8" w:rsidRPr="005B5BAF" w:rsidRDefault="00B605B8" w:rsidP="00191F4B">
            <w:pPr>
              <w:jc w:val="left"/>
              <w:rPr>
                <w:rFonts w:asciiTheme="minorHAnsi" w:hAnsiTheme="minorHAnsi"/>
              </w:rPr>
            </w:pPr>
            <w:r w:rsidRPr="005B5BAF">
              <w:rPr>
                <w:rFonts w:asciiTheme="minorHAnsi" w:hAnsiTheme="minorHAnsi"/>
              </w:rPr>
              <w:t>Registros de sustancias químicas</w:t>
            </w:r>
          </w:p>
        </w:tc>
        <w:tc>
          <w:tcPr>
            <w:tcW w:w="2028" w:type="dxa"/>
            <w:vAlign w:val="center"/>
          </w:tcPr>
          <w:p w:rsidR="00B605B8" w:rsidRPr="005B5BAF" w:rsidRDefault="00B605B8" w:rsidP="00606EA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Existen brechas debido a la falta de inventarios y registros a lo largo del ciclo de vida</w:t>
            </w:r>
          </w:p>
        </w:tc>
        <w:tc>
          <w:tcPr>
            <w:tcW w:w="2028" w:type="dxa"/>
            <w:vAlign w:val="center"/>
          </w:tcPr>
          <w:p w:rsidR="00B605B8" w:rsidRPr="005B5BAF" w:rsidRDefault="00B605B8" w:rsidP="00606EA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Considerando el sistema actual utilizado no se observan brechas</w:t>
            </w:r>
          </w:p>
          <w:p w:rsidR="00B605B8" w:rsidRPr="005B5BAF" w:rsidRDefault="00B605B8" w:rsidP="00606EA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70C0"/>
              </w:rPr>
            </w:pPr>
            <w:r w:rsidRPr="005B5BAF">
              <w:rPr>
                <w:rFonts w:asciiTheme="minorHAnsi" w:hAnsiTheme="minorHAnsi"/>
              </w:rPr>
              <w:t>En caso de implementar GHS existirán vacíos dado que los registros deberían ser adoptados al nuevo sistema</w:t>
            </w:r>
          </w:p>
        </w:tc>
        <w:tc>
          <w:tcPr>
            <w:tcW w:w="2028" w:type="dxa"/>
            <w:vAlign w:val="center"/>
          </w:tcPr>
          <w:p w:rsidR="00B605B8" w:rsidRPr="005B5BAF" w:rsidRDefault="00B605B8" w:rsidP="00606EA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Existen brechas al no contar con registros  específicos en este sector</w:t>
            </w:r>
          </w:p>
          <w:p w:rsidR="00B605B8" w:rsidRPr="005B5BAF" w:rsidRDefault="00B605B8" w:rsidP="00606EA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c>
          <w:tcPr>
            <w:tcW w:w="2028" w:type="dxa"/>
            <w:vAlign w:val="center"/>
          </w:tcPr>
          <w:p w:rsidR="00B605B8" w:rsidRPr="005B5BAF" w:rsidRDefault="00B605B8" w:rsidP="00606EA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Considerando el sistema actual utilizado no se observan brechas</w:t>
            </w:r>
          </w:p>
          <w:p w:rsidR="00B605B8" w:rsidRPr="005B5BAF" w:rsidRDefault="00B605B8" w:rsidP="00606EA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B5BAF">
              <w:rPr>
                <w:rFonts w:asciiTheme="minorHAnsi" w:hAnsiTheme="minorHAnsi"/>
              </w:rPr>
              <w:t>En caso de implementar GHS existirán vacíos dado que los registros deberán ser adoptados al nuevo sistema</w:t>
            </w:r>
          </w:p>
        </w:tc>
      </w:tr>
      <w:tr w:rsidR="00B605B8" w:rsidRPr="005B5BAF" w:rsidTr="00A32C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7" w:type="dxa"/>
            <w:tcBorders>
              <w:top w:val="none" w:sz="0" w:space="0" w:color="auto"/>
              <w:left w:val="none" w:sz="0" w:space="0" w:color="auto"/>
              <w:bottom w:val="none" w:sz="0" w:space="0" w:color="auto"/>
            </w:tcBorders>
            <w:vAlign w:val="center"/>
          </w:tcPr>
          <w:p w:rsidR="00B605B8" w:rsidRPr="005B5BAF" w:rsidRDefault="00B605B8" w:rsidP="00A32CEF">
            <w:pPr>
              <w:jc w:val="left"/>
              <w:rPr>
                <w:rFonts w:asciiTheme="minorHAnsi" w:hAnsiTheme="minorHAnsi"/>
              </w:rPr>
            </w:pPr>
            <w:r w:rsidRPr="005B5BAF">
              <w:rPr>
                <w:rFonts w:asciiTheme="minorHAnsi" w:hAnsiTheme="minorHAnsi"/>
              </w:rPr>
              <w:t>Difusión del GHS</w:t>
            </w:r>
          </w:p>
        </w:tc>
        <w:tc>
          <w:tcPr>
            <w:tcW w:w="2028" w:type="dxa"/>
            <w:tcBorders>
              <w:top w:val="none" w:sz="0" w:space="0" w:color="auto"/>
              <w:bottom w:val="none" w:sz="0" w:space="0" w:color="auto"/>
            </w:tcBorders>
            <w:vAlign w:val="center"/>
          </w:tcPr>
          <w:p w:rsidR="00B605B8" w:rsidRPr="005B5BAF" w:rsidRDefault="00B605B8" w:rsidP="00A32CEF">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No se detectan brechas importantes</w:t>
            </w:r>
          </w:p>
        </w:tc>
        <w:tc>
          <w:tcPr>
            <w:tcW w:w="2028" w:type="dxa"/>
            <w:tcBorders>
              <w:top w:val="none" w:sz="0" w:space="0" w:color="auto"/>
              <w:bottom w:val="none" w:sz="0" w:space="0" w:color="auto"/>
            </w:tcBorders>
            <w:vAlign w:val="center"/>
          </w:tcPr>
          <w:p w:rsidR="00B605B8" w:rsidRPr="005B5BAF" w:rsidRDefault="00B605B8" w:rsidP="00606EA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S/I</w:t>
            </w:r>
          </w:p>
        </w:tc>
        <w:tc>
          <w:tcPr>
            <w:tcW w:w="2028" w:type="dxa"/>
            <w:tcBorders>
              <w:top w:val="none" w:sz="0" w:space="0" w:color="auto"/>
              <w:bottom w:val="none" w:sz="0" w:space="0" w:color="auto"/>
            </w:tcBorders>
            <w:vAlign w:val="center"/>
          </w:tcPr>
          <w:p w:rsidR="00B605B8" w:rsidRPr="005B5BAF" w:rsidRDefault="00B605B8" w:rsidP="00606EA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S/I</w:t>
            </w:r>
          </w:p>
        </w:tc>
        <w:tc>
          <w:tcPr>
            <w:tcW w:w="2028" w:type="dxa"/>
            <w:tcBorders>
              <w:top w:val="none" w:sz="0" w:space="0" w:color="auto"/>
              <w:bottom w:val="none" w:sz="0" w:space="0" w:color="auto"/>
              <w:right w:val="none" w:sz="0" w:space="0" w:color="auto"/>
            </w:tcBorders>
            <w:vAlign w:val="center"/>
          </w:tcPr>
          <w:p w:rsidR="00B605B8" w:rsidRPr="005B5BAF" w:rsidRDefault="00B605B8" w:rsidP="00606EA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5B5BAF">
              <w:rPr>
                <w:rFonts w:asciiTheme="minorHAnsi" w:hAnsiTheme="minorHAnsi"/>
              </w:rPr>
              <w:t>Existen brechas dado que no existe conocimiento en general sobre el GHS</w:t>
            </w:r>
          </w:p>
        </w:tc>
      </w:tr>
    </w:tbl>
    <w:p w:rsidR="00801F1D" w:rsidRPr="005B5BAF" w:rsidRDefault="00801F1D" w:rsidP="00606EAC">
      <w:pPr>
        <w:jc w:val="both"/>
        <w:rPr>
          <w:sz w:val="22"/>
          <w:szCs w:val="22"/>
        </w:rPr>
      </w:pPr>
    </w:p>
    <w:p w:rsidR="00DC5B7B" w:rsidRPr="005B5BAF" w:rsidRDefault="005827C3" w:rsidP="00606EAC">
      <w:pPr>
        <w:jc w:val="both"/>
        <w:rPr>
          <w:sz w:val="22"/>
          <w:szCs w:val="22"/>
        </w:rPr>
      </w:pPr>
      <w:r w:rsidRPr="005B5BAF">
        <w:rPr>
          <w:sz w:val="22"/>
          <w:szCs w:val="22"/>
        </w:rPr>
        <w:t>Resumiendo la informaci</w:t>
      </w:r>
      <w:r w:rsidR="001A104F" w:rsidRPr="005B5BAF">
        <w:rPr>
          <w:sz w:val="22"/>
          <w:szCs w:val="22"/>
        </w:rPr>
        <w:t>ón presentada hasta ahora</w:t>
      </w:r>
      <w:r w:rsidRPr="005B5BAF">
        <w:rPr>
          <w:sz w:val="22"/>
          <w:szCs w:val="22"/>
        </w:rPr>
        <w:t>,</w:t>
      </w:r>
      <w:r w:rsidR="00A32BBA">
        <w:rPr>
          <w:sz w:val="22"/>
          <w:szCs w:val="22"/>
        </w:rPr>
        <w:t xml:space="preserve"> tanto del diagnóstico técnico como el análisis de situación y vacíos,</w:t>
      </w:r>
      <w:r w:rsidRPr="005B5BAF">
        <w:rPr>
          <w:sz w:val="22"/>
          <w:szCs w:val="22"/>
        </w:rPr>
        <w:t xml:space="preserve"> </w:t>
      </w:r>
      <w:r w:rsidR="00DC5B7B" w:rsidRPr="005B5BAF">
        <w:rPr>
          <w:sz w:val="22"/>
          <w:szCs w:val="22"/>
        </w:rPr>
        <w:t>las brechas</w:t>
      </w:r>
      <w:r w:rsidRPr="005B5BAF">
        <w:rPr>
          <w:sz w:val="22"/>
          <w:szCs w:val="22"/>
        </w:rPr>
        <w:t xml:space="preserve"> y/o vacíos identificado</w:t>
      </w:r>
      <w:r w:rsidR="00DC5B7B" w:rsidRPr="005B5BAF">
        <w:rPr>
          <w:sz w:val="22"/>
          <w:szCs w:val="22"/>
        </w:rPr>
        <w:t xml:space="preserve">s </w:t>
      </w:r>
      <w:r w:rsidR="00A32BBA">
        <w:rPr>
          <w:sz w:val="22"/>
          <w:szCs w:val="22"/>
        </w:rPr>
        <w:t xml:space="preserve">pueden agruparse </w:t>
      </w:r>
      <w:r w:rsidR="00DC5B7B" w:rsidRPr="005B5BAF">
        <w:rPr>
          <w:sz w:val="22"/>
          <w:szCs w:val="22"/>
        </w:rPr>
        <w:t>de la siguiente forma:</w:t>
      </w:r>
    </w:p>
    <w:p w:rsidR="001A104F" w:rsidRPr="005B5BAF" w:rsidRDefault="001A104F" w:rsidP="00D4302C">
      <w:pPr>
        <w:pStyle w:val="ListParagraph"/>
        <w:numPr>
          <w:ilvl w:val="0"/>
          <w:numId w:val="67"/>
        </w:numPr>
        <w:contextualSpacing w:val="0"/>
        <w:jc w:val="both"/>
        <w:rPr>
          <w:sz w:val="22"/>
          <w:szCs w:val="22"/>
        </w:rPr>
      </w:pPr>
      <w:r w:rsidRPr="005B5BAF">
        <w:rPr>
          <w:sz w:val="22"/>
          <w:szCs w:val="22"/>
        </w:rPr>
        <w:t>Comité Coordinador con estructura incompleta al no estar representados todos los sectores.</w:t>
      </w:r>
    </w:p>
    <w:p w:rsidR="00DC5B7B" w:rsidRPr="005B5BAF" w:rsidRDefault="00DC5B7B" w:rsidP="00D4302C">
      <w:pPr>
        <w:pStyle w:val="ListParagraph"/>
        <w:numPr>
          <w:ilvl w:val="0"/>
          <w:numId w:val="67"/>
        </w:numPr>
        <w:contextualSpacing w:val="0"/>
        <w:jc w:val="both"/>
        <w:rPr>
          <w:sz w:val="22"/>
          <w:szCs w:val="22"/>
        </w:rPr>
      </w:pPr>
      <w:r w:rsidRPr="005B5BAF">
        <w:rPr>
          <w:sz w:val="22"/>
          <w:szCs w:val="22"/>
        </w:rPr>
        <w:t xml:space="preserve">Baja o nula participación de la Sociedad Civil </w:t>
      </w:r>
      <w:r w:rsidR="001A104F" w:rsidRPr="005B5BAF">
        <w:rPr>
          <w:sz w:val="22"/>
          <w:szCs w:val="22"/>
        </w:rPr>
        <w:t>en las distintas instancias correspondientes al</w:t>
      </w:r>
      <w:r w:rsidRPr="005B5BAF">
        <w:rPr>
          <w:sz w:val="22"/>
          <w:szCs w:val="22"/>
        </w:rPr>
        <w:t xml:space="preserve"> proceso de elaboración de estrategia </w:t>
      </w:r>
      <w:r w:rsidR="00844D22" w:rsidRPr="005B5BAF">
        <w:rPr>
          <w:sz w:val="22"/>
          <w:szCs w:val="22"/>
        </w:rPr>
        <w:t xml:space="preserve">e implementación </w:t>
      </w:r>
      <w:r w:rsidRPr="005B5BAF">
        <w:rPr>
          <w:sz w:val="22"/>
          <w:szCs w:val="22"/>
        </w:rPr>
        <w:t>del GHS.</w:t>
      </w:r>
    </w:p>
    <w:p w:rsidR="00DC5B7B" w:rsidRPr="005B5BAF" w:rsidRDefault="00DC5B7B" w:rsidP="00D4302C">
      <w:pPr>
        <w:pStyle w:val="ListParagraph"/>
        <w:numPr>
          <w:ilvl w:val="0"/>
          <w:numId w:val="67"/>
        </w:numPr>
        <w:contextualSpacing w:val="0"/>
        <w:jc w:val="both"/>
        <w:rPr>
          <w:sz w:val="22"/>
          <w:szCs w:val="22"/>
        </w:rPr>
      </w:pPr>
      <w:r w:rsidRPr="005B5BAF">
        <w:rPr>
          <w:sz w:val="22"/>
          <w:szCs w:val="22"/>
        </w:rPr>
        <w:t>Capacidades y recursos insuficientes a nivel gobierno para desarrollar plan de implementación.</w:t>
      </w:r>
    </w:p>
    <w:p w:rsidR="00DC5B7B" w:rsidRPr="005B5BAF" w:rsidRDefault="00DC5B7B" w:rsidP="00D4302C">
      <w:pPr>
        <w:pStyle w:val="ListParagraph"/>
        <w:numPr>
          <w:ilvl w:val="0"/>
          <w:numId w:val="67"/>
        </w:numPr>
        <w:contextualSpacing w:val="0"/>
        <w:jc w:val="both"/>
        <w:rPr>
          <w:b/>
          <w:color w:val="00B050"/>
          <w:sz w:val="22"/>
          <w:szCs w:val="22"/>
        </w:rPr>
      </w:pPr>
      <w:r w:rsidRPr="005B5BAF">
        <w:rPr>
          <w:sz w:val="22"/>
          <w:szCs w:val="22"/>
        </w:rPr>
        <w:t>Falta de información sobre sustancias químicas a lo largo de su ciclo de vida, en la forma de inventarios, catastros o registros</w:t>
      </w:r>
      <w:r w:rsidR="00F94447" w:rsidRPr="005B5BAF">
        <w:rPr>
          <w:sz w:val="22"/>
          <w:szCs w:val="22"/>
        </w:rPr>
        <w:t xml:space="preserve"> (con excepción de plaguicidas de uso agrícola y doméstico y sanitario).</w:t>
      </w:r>
    </w:p>
    <w:p w:rsidR="00DC5B7B" w:rsidRPr="005B5BAF" w:rsidRDefault="00DC5B7B" w:rsidP="00D4302C">
      <w:pPr>
        <w:pStyle w:val="ListParagraph"/>
        <w:numPr>
          <w:ilvl w:val="0"/>
          <w:numId w:val="67"/>
        </w:numPr>
        <w:contextualSpacing w:val="0"/>
        <w:jc w:val="both"/>
        <w:rPr>
          <w:sz w:val="22"/>
          <w:szCs w:val="22"/>
        </w:rPr>
      </w:pPr>
      <w:r w:rsidRPr="005B5BAF">
        <w:rPr>
          <w:sz w:val="22"/>
          <w:szCs w:val="22"/>
        </w:rPr>
        <w:t xml:space="preserve">Bajo nivel de capacitación/formación sobre el GHS </w:t>
      </w:r>
      <w:r w:rsidR="009737B8" w:rsidRPr="005B5BAF">
        <w:rPr>
          <w:sz w:val="22"/>
          <w:szCs w:val="22"/>
        </w:rPr>
        <w:t xml:space="preserve">en </w:t>
      </w:r>
      <w:r w:rsidR="00BE2554" w:rsidRPr="005B5BAF">
        <w:rPr>
          <w:sz w:val="22"/>
          <w:szCs w:val="22"/>
        </w:rPr>
        <w:t xml:space="preserve">todos los sectores involucrados, </w:t>
      </w:r>
      <w:r w:rsidR="005B4AC4">
        <w:rPr>
          <w:sz w:val="22"/>
          <w:szCs w:val="22"/>
        </w:rPr>
        <w:t>medio nivel en sector industria y gobierno.</w:t>
      </w:r>
    </w:p>
    <w:p w:rsidR="00DC5B7B" w:rsidRPr="005B5BAF" w:rsidRDefault="00DC5B7B" w:rsidP="00D4302C">
      <w:pPr>
        <w:pStyle w:val="ListParagraph"/>
        <w:numPr>
          <w:ilvl w:val="0"/>
          <w:numId w:val="67"/>
        </w:numPr>
        <w:contextualSpacing w:val="0"/>
        <w:jc w:val="both"/>
        <w:rPr>
          <w:sz w:val="22"/>
          <w:szCs w:val="22"/>
        </w:rPr>
      </w:pPr>
      <w:r w:rsidRPr="005B5BAF">
        <w:rPr>
          <w:sz w:val="22"/>
          <w:szCs w:val="22"/>
        </w:rPr>
        <w:t xml:space="preserve">Falta de sensibilización y concienciación </w:t>
      </w:r>
      <w:r w:rsidR="009737B8" w:rsidRPr="005B5BAF">
        <w:rPr>
          <w:sz w:val="22"/>
          <w:szCs w:val="22"/>
        </w:rPr>
        <w:t>del sistema GHS y su relevancia en todos los sectores involucrados.</w:t>
      </w:r>
    </w:p>
    <w:p w:rsidR="00CB513A" w:rsidRDefault="00DC5B7B" w:rsidP="00D4302C">
      <w:pPr>
        <w:pStyle w:val="ListParagraph"/>
        <w:numPr>
          <w:ilvl w:val="0"/>
          <w:numId w:val="67"/>
        </w:numPr>
        <w:contextualSpacing w:val="0"/>
        <w:jc w:val="both"/>
        <w:rPr>
          <w:sz w:val="22"/>
          <w:szCs w:val="22"/>
        </w:rPr>
      </w:pPr>
      <w:r w:rsidRPr="005B5BAF">
        <w:rPr>
          <w:sz w:val="22"/>
          <w:szCs w:val="22"/>
        </w:rPr>
        <w:t>Falta de mecanismo de asignación de recursos para las actividades de implementación.</w:t>
      </w:r>
    </w:p>
    <w:p w:rsidR="00CB513A" w:rsidRDefault="00DC5B7B" w:rsidP="00D4302C">
      <w:pPr>
        <w:pStyle w:val="ListParagraph"/>
        <w:numPr>
          <w:ilvl w:val="0"/>
          <w:numId w:val="67"/>
        </w:numPr>
        <w:contextualSpacing w:val="0"/>
        <w:jc w:val="both"/>
        <w:rPr>
          <w:sz w:val="22"/>
          <w:szCs w:val="22"/>
        </w:rPr>
      </w:pPr>
      <w:r w:rsidRPr="00CB513A">
        <w:rPr>
          <w:sz w:val="22"/>
          <w:szCs w:val="22"/>
        </w:rPr>
        <w:t xml:space="preserve">Falta de </w:t>
      </w:r>
      <w:r w:rsidR="009737B8" w:rsidRPr="00CB513A">
        <w:rPr>
          <w:sz w:val="22"/>
          <w:szCs w:val="22"/>
        </w:rPr>
        <w:t>capacidades técnicas en el gobierno para la fiscalización del nuevo sistema</w:t>
      </w:r>
      <w:r w:rsidRPr="00CB513A">
        <w:rPr>
          <w:sz w:val="22"/>
          <w:szCs w:val="22"/>
        </w:rPr>
        <w:t>.</w:t>
      </w:r>
    </w:p>
    <w:p w:rsidR="00DC5B7B" w:rsidRDefault="00DC5B7B" w:rsidP="00D4302C">
      <w:pPr>
        <w:pStyle w:val="ListParagraph"/>
        <w:numPr>
          <w:ilvl w:val="0"/>
          <w:numId w:val="67"/>
        </w:numPr>
        <w:contextualSpacing w:val="0"/>
        <w:jc w:val="both"/>
        <w:rPr>
          <w:sz w:val="22"/>
          <w:szCs w:val="22"/>
        </w:rPr>
      </w:pPr>
      <w:r w:rsidRPr="00CB513A">
        <w:rPr>
          <w:sz w:val="22"/>
          <w:szCs w:val="22"/>
        </w:rPr>
        <w:t>Baja capacidad en infraestructura técnica</w:t>
      </w:r>
      <w:r w:rsidR="004E1866" w:rsidRPr="00CB513A">
        <w:rPr>
          <w:sz w:val="22"/>
          <w:szCs w:val="22"/>
        </w:rPr>
        <w:t xml:space="preserve"> </w:t>
      </w:r>
      <w:r w:rsidR="00EE3CCF" w:rsidRPr="00CB513A">
        <w:rPr>
          <w:sz w:val="22"/>
          <w:szCs w:val="22"/>
        </w:rPr>
        <w:t xml:space="preserve">a </w:t>
      </w:r>
      <w:r w:rsidR="004E1866" w:rsidRPr="00CB513A">
        <w:rPr>
          <w:sz w:val="22"/>
          <w:szCs w:val="22"/>
        </w:rPr>
        <w:t>nivel nacional</w:t>
      </w:r>
      <w:r w:rsidRPr="00CB513A">
        <w:rPr>
          <w:sz w:val="22"/>
          <w:szCs w:val="22"/>
        </w:rPr>
        <w:t xml:space="preserve"> </w:t>
      </w:r>
      <w:r w:rsidR="00795EB0" w:rsidRPr="00CB513A">
        <w:rPr>
          <w:sz w:val="22"/>
          <w:szCs w:val="22"/>
        </w:rPr>
        <w:t xml:space="preserve">en todos los sectores </w:t>
      </w:r>
      <w:r w:rsidRPr="00CB513A">
        <w:rPr>
          <w:sz w:val="22"/>
          <w:szCs w:val="22"/>
        </w:rPr>
        <w:t>para la clasificación de sustancias que no estén clasificadas (</w:t>
      </w:r>
      <w:r w:rsidR="00BE2554" w:rsidRPr="00CB513A">
        <w:rPr>
          <w:sz w:val="22"/>
          <w:szCs w:val="22"/>
        </w:rPr>
        <w:t xml:space="preserve">especialmente, </w:t>
      </w:r>
      <w:r w:rsidRPr="00CB513A">
        <w:rPr>
          <w:sz w:val="22"/>
          <w:szCs w:val="22"/>
        </w:rPr>
        <w:t>peligros</w:t>
      </w:r>
      <w:r w:rsidR="00795EB0" w:rsidRPr="00CB513A">
        <w:rPr>
          <w:sz w:val="22"/>
          <w:szCs w:val="22"/>
        </w:rPr>
        <w:t xml:space="preserve"> a la salud y al medioambiente) de acuerdo al GHS.</w:t>
      </w:r>
    </w:p>
    <w:p w:rsidR="005041AE" w:rsidRDefault="005041AE" w:rsidP="005041AE">
      <w:pPr>
        <w:jc w:val="both"/>
        <w:rPr>
          <w:sz w:val="22"/>
          <w:szCs w:val="22"/>
        </w:rPr>
      </w:pPr>
    </w:p>
    <w:p w:rsidR="005912F0" w:rsidRDefault="005912F0" w:rsidP="005041AE">
      <w:pPr>
        <w:jc w:val="both"/>
        <w:rPr>
          <w:sz w:val="22"/>
          <w:szCs w:val="22"/>
        </w:rPr>
      </w:pPr>
    </w:p>
    <w:p w:rsidR="005912F0" w:rsidRDefault="005912F0" w:rsidP="005041AE">
      <w:pPr>
        <w:jc w:val="both"/>
        <w:rPr>
          <w:sz w:val="22"/>
          <w:szCs w:val="22"/>
        </w:rPr>
      </w:pPr>
    </w:p>
    <w:p w:rsidR="00F13083" w:rsidRDefault="00F13083" w:rsidP="005041AE">
      <w:pPr>
        <w:jc w:val="both"/>
        <w:rPr>
          <w:sz w:val="22"/>
          <w:szCs w:val="22"/>
        </w:rPr>
      </w:pPr>
    </w:p>
    <w:p w:rsidR="00F13083" w:rsidRDefault="00F13083" w:rsidP="005041AE">
      <w:pPr>
        <w:jc w:val="both"/>
        <w:rPr>
          <w:sz w:val="22"/>
          <w:szCs w:val="22"/>
        </w:rPr>
      </w:pPr>
    </w:p>
    <w:p w:rsidR="00D13567" w:rsidRPr="000D5FCA" w:rsidRDefault="00D13567" w:rsidP="00270FA8">
      <w:pPr>
        <w:pStyle w:val="Heading1"/>
        <w:spacing w:before="0" w:after="180" w:line="264" w:lineRule="auto"/>
        <w:ind w:left="0" w:firstLine="0"/>
        <w:rPr>
          <w:rFonts w:asciiTheme="minorHAnsi" w:hAnsiTheme="minorHAnsi"/>
          <w:caps w:val="0"/>
          <w:lang w:val="es-CL"/>
        </w:rPr>
      </w:pPr>
      <w:bookmarkStart w:id="109" w:name="_Toc418168904"/>
      <w:r w:rsidRPr="000D5FCA">
        <w:rPr>
          <w:rFonts w:asciiTheme="minorHAnsi" w:hAnsiTheme="minorHAnsi"/>
          <w:caps w:val="0"/>
          <w:lang w:val="es-CL"/>
        </w:rPr>
        <w:t>P</w:t>
      </w:r>
      <w:r w:rsidR="000D5FCA">
        <w:rPr>
          <w:rFonts w:asciiTheme="minorHAnsi" w:hAnsiTheme="minorHAnsi"/>
          <w:caps w:val="0"/>
        </w:rPr>
        <w:t>ROPUESTA DE ESTRATEGIA DE IMPLEMENTACIÓN</w:t>
      </w:r>
      <w:bookmarkEnd w:id="109"/>
    </w:p>
    <w:p w:rsidR="0069386C" w:rsidRPr="00E551B0" w:rsidRDefault="006B4253" w:rsidP="0069386C">
      <w:pPr>
        <w:jc w:val="both"/>
        <w:rPr>
          <w:sz w:val="22"/>
          <w:szCs w:val="22"/>
          <w:highlight w:val="yellow"/>
        </w:rPr>
      </w:pPr>
      <w:r>
        <w:rPr>
          <w:sz w:val="22"/>
          <w:szCs w:val="22"/>
        </w:rPr>
        <w:t>A partir de</w:t>
      </w:r>
      <w:r w:rsidR="0069386C" w:rsidRPr="005B5BAF">
        <w:rPr>
          <w:sz w:val="22"/>
          <w:szCs w:val="22"/>
        </w:rPr>
        <w:t xml:space="preserve"> </w:t>
      </w:r>
      <w:r w:rsidR="0069386C">
        <w:rPr>
          <w:sz w:val="22"/>
          <w:szCs w:val="22"/>
        </w:rPr>
        <w:t>los vacíos identificados</w:t>
      </w:r>
      <w:r w:rsidR="0069386C" w:rsidRPr="005B5BAF">
        <w:rPr>
          <w:sz w:val="22"/>
          <w:szCs w:val="22"/>
        </w:rPr>
        <w:t xml:space="preserve"> en cada sector</w:t>
      </w:r>
      <w:r w:rsidR="007E56BE">
        <w:rPr>
          <w:sz w:val="22"/>
          <w:szCs w:val="22"/>
        </w:rPr>
        <w:t xml:space="preserve"> y algunas de las recomendacione</w:t>
      </w:r>
      <w:r>
        <w:rPr>
          <w:sz w:val="22"/>
          <w:szCs w:val="22"/>
        </w:rPr>
        <w:t>s y experiencias en otros países</w:t>
      </w:r>
      <w:r w:rsidR="007E56BE">
        <w:rPr>
          <w:sz w:val="22"/>
          <w:szCs w:val="22"/>
        </w:rPr>
        <w:t>,</w:t>
      </w:r>
      <w:r w:rsidR="0069386C" w:rsidRPr="005B5BAF">
        <w:rPr>
          <w:sz w:val="22"/>
          <w:szCs w:val="22"/>
        </w:rPr>
        <w:t xml:space="preserve"> el Comité </w:t>
      </w:r>
      <w:r w:rsidR="0069386C" w:rsidRPr="0069386C">
        <w:rPr>
          <w:sz w:val="22"/>
          <w:szCs w:val="22"/>
        </w:rPr>
        <w:t>Coordinador decidió adoptar ciertas resoluciones sobre la forma de implementar el GHS en el país en primera instancia, las cuales fueron incluidas en la estrategia de implementación. Estas decisiones se detallan a continuación:</w:t>
      </w:r>
    </w:p>
    <w:p w:rsidR="0069386C" w:rsidRPr="005B5BAF" w:rsidRDefault="0069386C" w:rsidP="0069386C">
      <w:pPr>
        <w:pStyle w:val="ListParagraph"/>
        <w:numPr>
          <w:ilvl w:val="0"/>
          <w:numId w:val="63"/>
        </w:numPr>
        <w:jc w:val="both"/>
        <w:rPr>
          <w:b/>
          <w:sz w:val="22"/>
          <w:szCs w:val="22"/>
        </w:rPr>
      </w:pPr>
      <w:r w:rsidRPr="005B5BAF">
        <w:rPr>
          <w:b/>
          <w:sz w:val="22"/>
          <w:szCs w:val="22"/>
        </w:rPr>
        <w:t>Adoptar la clasificación del Reglamento sobre Clasificación, Etiquetado y Envasado de sustancias y mezclas de la Unión Europea (Reglamento CLP):</w:t>
      </w:r>
      <w:r w:rsidRPr="005B5BAF">
        <w:rPr>
          <w:sz w:val="22"/>
          <w:szCs w:val="22"/>
        </w:rPr>
        <w:t xml:space="preserve"> Se tomará como referencia la clasificación establecida en el CLP para la implementación del GHS en Chile. Esto implica que se utilizarán las mismas clases y categorías adoptadas en la Unión Europea (incorporación de todas las clases de peligros pero no de todas las categorías de peligro). Se debe</w:t>
      </w:r>
      <w:r w:rsidR="006B4253">
        <w:rPr>
          <w:sz w:val="22"/>
          <w:szCs w:val="22"/>
        </w:rPr>
        <w:t xml:space="preserve"> incluir en la propuesta de instrumento normativo la forma de incorporar el CLP,</w:t>
      </w:r>
      <w:r w:rsidR="000B0D03">
        <w:rPr>
          <w:sz w:val="22"/>
          <w:szCs w:val="22"/>
        </w:rPr>
        <w:t xml:space="preserve"> </w:t>
      </w:r>
      <w:r w:rsidRPr="005B5BAF">
        <w:rPr>
          <w:sz w:val="22"/>
          <w:szCs w:val="22"/>
        </w:rPr>
        <w:t>ya sea mediante referencia directa o por inclusión del listado.</w:t>
      </w:r>
    </w:p>
    <w:p w:rsidR="006B4253" w:rsidRDefault="006B4253" w:rsidP="0069386C">
      <w:pPr>
        <w:pStyle w:val="ListParagraph"/>
        <w:ind w:left="0"/>
        <w:jc w:val="center"/>
        <w:rPr>
          <w:b/>
          <w:sz w:val="22"/>
          <w:szCs w:val="22"/>
        </w:rPr>
      </w:pPr>
    </w:p>
    <w:p w:rsidR="0069386C" w:rsidRPr="005B5BAF" w:rsidRDefault="0069386C" w:rsidP="0069386C">
      <w:pPr>
        <w:pStyle w:val="ListParagraph"/>
        <w:ind w:left="0"/>
        <w:jc w:val="center"/>
        <w:rPr>
          <w:b/>
          <w:sz w:val="22"/>
          <w:szCs w:val="22"/>
        </w:rPr>
      </w:pPr>
      <w:r w:rsidRPr="005B5BAF">
        <w:rPr>
          <w:b/>
          <w:sz w:val="22"/>
          <w:szCs w:val="22"/>
        </w:rPr>
        <w:t xml:space="preserve">Tabla </w:t>
      </w:r>
      <w:r w:rsidR="00F13083">
        <w:rPr>
          <w:b/>
          <w:sz w:val="22"/>
          <w:szCs w:val="22"/>
        </w:rPr>
        <w:t>16</w:t>
      </w:r>
      <w:r w:rsidRPr="005B5BAF">
        <w:rPr>
          <w:b/>
          <w:sz w:val="22"/>
          <w:szCs w:val="22"/>
        </w:rPr>
        <w:t>: Clases y categorías del GHS adopt</w:t>
      </w:r>
      <w:r>
        <w:rPr>
          <w:b/>
          <w:sz w:val="22"/>
          <w:szCs w:val="22"/>
        </w:rPr>
        <w:t>ad</w:t>
      </w:r>
      <w:r w:rsidRPr="005B5BAF">
        <w:rPr>
          <w:b/>
          <w:sz w:val="22"/>
          <w:szCs w:val="22"/>
        </w:rPr>
        <w:t>as por el CLP</w:t>
      </w:r>
    </w:p>
    <w:tbl>
      <w:tblPr>
        <w:tblStyle w:val="Listaclara-nfasis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418"/>
        <w:gridCol w:w="1984"/>
        <w:gridCol w:w="1843"/>
        <w:gridCol w:w="1702"/>
        <w:gridCol w:w="1241"/>
      </w:tblGrid>
      <w:tr w:rsidR="0069386C" w:rsidRPr="005B5BAF" w:rsidTr="005041A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51" w:type="dxa"/>
            <w:vAlign w:val="center"/>
          </w:tcPr>
          <w:p w:rsidR="0069386C" w:rsidRPr="005B5BAF" w:rsidRDefault="0069386C" w:rsidP="00CA283F">
            <w:pPr>
              <w:pStyle w:val="ListParagraph"/>
              <w:ind w:left="0"/>
              <w:jc w:val="center"/>
              <w:rPr>
                <w:rFonts w:asciiTheme="minorHAnsi" w:hAnsiTheme="minorHAnsi"/>
                <w:b w:val="0"/>
                <w:sz w:val="18"/>
                <w:szCs w:val="18"/>
              </w:rPr>
            </w:pPr>
            <w:r w:rsidRPr="005B5BAF">
              <w:rPr>
                <w:rFonts w:asciiTheme="minorHAnsi" w:hAnsiTheme="minorHAnsi"/>
                <w:sz w:val="18"/>
                <w:szCs w:val="18"/>
              </w:rPr>
              <w:t>Clases de peligros físicos</w:t>
            </w:r>
          </w:p>
        </w:tc>
        <w:tc>
          <w:tcPr>
            <w:tcW w:w="1418" w:type="dxa"/>
            <w:vAlign w:val="center"/>
          </w:tcPr>
          <w:p w:rsidR="0069386C" w:rsidRPr="005B5BAF" w:rsidRDefault="0069386C" w:rsidP="005041AE">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Categorías de Peligro</w:t>
            </w:r>
          </w:p>
        </w:tc>
        <w:tc>
          <w:tcPr>
            <w:tcW w:w="1984" w:type="dxa"/>
            <w:vAlign w:val="center"/>
          </w:tcPr>
          <w:p w:rsidR="0069386C" w:rsidRPr="005B5BAF" w:rsidRDefault="0069386C" w:rsidP="00CA283F">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Clases de peligros para la salud</w:t>
            </w:r>
          </w:p>
        </w:tc>
        <w:tc>
          <w:tcPr>
            <w:tcW w:w="1843" w:type="dxa"/>
            <w:vAlign w:val="center"/>
          </w:tcPr>
          <w:p w:rsidR="0069386C" w:rsidRPr="005B5BAF" w:rsidRDefault="0069386C" w:rsidP="00CA283F">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Categorías de Peligro</w:t>
            </w:r>
          </w:p>
        </w:tc>
        <w:tc>
          <w:tcPr>
            <w:tcW w:w="1702" w:type="dxa"/>
            <w:vAlign w:val="center"/>
          </w:tcPr>
          <w:p w:rsidR="0069386C" w:rsidRPr="005B5BAF" w:rsidRDefault="0069386C" w:rsidP="00CA283F">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Clases de peligros para el medioambiente</w:t>
            </w:r>
          </w:p>
        </w:tc>
        <w:tc>
          <w:tcPr>
            <w:tcW w:w="1241" w:type="dxa"/>
            <w:vAlign w:val="center"/>
          </w:tcPr>
          <w:p w:rsidR="0069386C" w:rsidRPr="005B5BAF" w:rsidRDefault="005041AE" w:rsidP="005041AE">
            <w:pPr>
              <w:pStyle w:val="ListParagraph"/>
              <w:spacing w:after="0"/>
              <w:ind w:left="0"/>
              <w:contextualSpacing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Categorías de Peligro</w:t>
            </w:r>
          </w:p>
        </w:tc>
      </w:tr>
      <w:tr w:rsidR="0069386C" w:rsidRPr="005B5BAF" w:rsidTr="00CA28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51" w:type="dxa"/>
            <w:tcBorders>
              <w:top w:val="none" w:sz="0" w:space="0" w:color="auto"/>
              <w:left w:val="none" w:sz="0" w:space="0" w:color="auto"/>
              <w:bottom w:val="none" w:sz="0" w:space="0" w:color="auto"/>
            </w:tcBorders>
            <w:vAlign w:val="center"/>
          </w:tcPr>
          <w:p w:rsidR="0069386C" w:rsidRPr="005B5BAF" w:rsidRDefault="0069386C" w:rsidP="00CA283F">
            <w:pPr>
              <w:pStyle w:val="ListParagraph"/>
              <w:ind w:left="0"/>
              <w:jc w:val="left"/>
              <w:rPr>
                <w:rFonts w:asciiTheme="minorHAnsi" w:hAnsiTheme="minorHAnsi"/>
                <w:sz w:val="18"/>
                <w:szCs w:val="18"/>
              </w:rPr>
            </w:pPr>
            <w:r w:rsidRPr="005B5BAF">
              <w:rPr>
                <w:rFonts w:asciiTheme="minorHAnsi" w:hAnsiTheme="minorHAnsi"/>
                <w:sz w:val="18"/>
                <w:szCs w:val="18"/>
              </w:rPr>
              <w:t>1. Explosivos</w:t>
            </w:r>
          </w:p>
        </w:tc>
        <w:tc>
          <w:tcPr>
            <w:tcW w:w="1418" w:type="dxa"/>
            <w:tcBorders>
              <w:top w:val="none" w:sz="0" w:space="0" w:color="auto"/>
              <w:bottom w:val="none" w:sz="0" w:space="0" w:color="auto"/>
            </w:tcBorders>
            <w:vAlign w:val="center"/>
          </w:tcPr>
          <w:p w:rsidR="0069386C" w:rsidRPr="005B5BAF" w:rsidRDefault="0069386C" w:rsidP="00CA283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División 1.1, 1.2, 1.3, 1.4, 1.5 y 1.6 más explosivo</w:t>
            </w:r>
            <w:r>
              <w:rPr>
                <w:rFonts w:asciiTheme="minorHAnsi" w:hAnsiTheme="minorHAnsi"/>
                <w:sz w:val="18"/>
                <w:szCs w:val="18"/>
              </w:rPr>
              <w:t>s</w:t>
            </w:r>
            <w:r w:rsidRPr="005B5BAF">
              <w:rPr>
                <w:rFonts w:asciiTheme="minorHAnsi" w:hAnsiTheme="minorHAnsi"/>
                <w:sz w:val="18"/>
                <w:szCs w:val="18"/>
              </w:rPr>
              <w:t xml:space="preserve"> inestables</w:t>
            </w:r>
          </w:p>
        </w:tc>
        <w:tc>
          <w:tcPr>
            <w:tcW w:w="1984" w:type="dxa"/>
            <w:tcBorders>
              <w:top w:val="none" w:sz="0" w:space="0" w:color="auto"/>
              <w:bottom w:val="none" w:sz="0" w:space="0" w:color="auto"/>
            </w:tcBorders>
            <w:vAlign w:val="center"/>
          </w:tcPr>
          <w:p w:rsidR="0069386C" w:rsidRPr="005B5BAF" w:rsidRDefault="0069386C" w:rsidP="00CA283F">
            <w:pPr>
              <w:pStyle w:val="ListParagraph"/>
              <w:ind w:left="0"/>
              <w:jc w:val="left"/>
              <w:cnfStyle w:val="000000100000" w:firstRow="0" w:lastRow="0" w:firstColumn="0" w:lastColumn="0" w:oddVBand="0" w:evenVBand="0" w:oddHBand="1" w:evenHBand="0" w:firstRowFirstColumn="0" w:firstRowLastColumn="0" w:lastRowFirstColumn="0" w:lastRowLastColumn="0"/>
              <w:rPr>
                <w:rFonts w:asciiTheme="minorHAnsi" w:hAnsiTheme="minorHAnsi"/>
                <w:b/>
                <w:sz w:val="18"/>
                <w:szCs w:val="18"/>
              </w:rPr>
            </w:pPr>
            <w:r w:rsidRPr="005B5BAF">
              <w:rPr>
                <w:rFonts w:asciiTheme="minorHAnsi" w:hAnsiTheme="minorHAnsi"/>
                <w:b/>
                <w:sz w:val="18"/>
                <w:szCs w:val="18"/>
              </w:rPr>
              <w:t>1. Toxicidad aguda</w:t>
            </w:r>
          </w:p>
        </w:tc>
        <w:tc>
          <w:tcPr>
            <w:tcW w:w="1843" w:type="dxa"/>
            <w:tcBorders>
              <w:top w:val="none" w:sz="0" w:space="0" w:color="auto"/>
              <w:bottom w:val="none" w:sz="0" w:space="0" w:color="auto"/>
            </w:tcBorders>
            <w:vAlign w:val="center"/>
          </w:tcPr>
          <w:p w:rsidR="0069386C" w:rsidRPr="005B5BAF" w:rsidRDefault="0069386C" w:rsidP="00CA283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1, 2, 3 y 4</w:t>
            </w:r>
          </w:p>
        </w:tc>
        <w:tc>
          <w:tcPr>
            <w:tcW w:w="1702" w:type="dxa"/>
            <w:tcBorders>
              <w:top w:val="none" w:sz="0" w:space="0" w:color="auto"/>
              <w:bottom w:val="none" w:sz="0" w:space="0" w:color="auto"/>
            </w:tcBorders>
            <w:vAlign w:val="center"/>
          </w:tcPr>
          <w:p w:rsidR="0069386C" w:rsidRPr="005B5BAF" w:rsidRDefault="0069386C" w:rsidP="00CA283F">
            <w:pPr>
              <w:pStyle w:val="ListParagraph"/>
              <w:ind w:left="0"/>
              <w:jc w:val="left"/>
              <w:cnfStyle w:val="000000100000" w:firstRow="0" w:lastRow="0" w:firstColumn="0" w:lastColumn="0" w:oddVBand="0" w:evenVBand="0" w:oddHBand="1" w:evenHBand="0" w:firstRowFirstColumn="0" w:firstRowLastColumn="0" w:lastRowFirstColumn="0" w:lastRowLastColumn="0"/>
              <w:rPr>
                <w:rFonts w:asciiTheme="minorHAnsi" w:hAnsiTheme="minorHAnsi"/>
                <w:b/>
                <w:sz w:val="18"/>
                <w:szCs w:val="18"/>
              </w:rPr>
            </w:pPr>
            <w:r w:rsidRPr="005B5BAF">
              <w:rPr>
                <w:rFonts w:asciiTheme="minorHAnsi" w:hAnsiTheme="minorHAnsi"/>
                <w:b/>
                <w:sz w:val="18"/>
                <w:szCs w:val="18"/>
              </w:rPr>
              <w:t>1. Peligroso para el medio ambiente acuático</w:t>
            </w:r>
          </w:p>
        </w:tc>
        <w:tc>
          <w:tcPr>
            <w:tcW w:w="1241" w:type="dxa"/>
            <w:tcBorders>
              <w:top w:val="none" w:sz="0" w:space="0" w:color="auto"/>
              <w:bottom w:val="none" w:sz="0" w:space="0" w:color="auto"/>
              <w:right w:val="none" w:sz="0" w:space="0" w:color="auto"/>
            </w:tcBorders>
            <w:vAlign w:val="center"/>
          </w:tcPr>
          <w:p w:rsidR="0069386C" w:rsidRPr="005B5BAF" w:rsidRDefault="0069386C" w:rsidP="00CA283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Agudo 1</w:t>
            </w:r>
          </w:p>
          <w:p w:rsidR="0069386C" w:rsidRPr="005B5BAF" w:rsidRDefault="0069386C" w:rsidP="00CA283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b/>
                <w:sz w:val="18"/>
                <w:szCs w:val="18"/>
              </w:rPr>
            </w:pPr>
            <w:r w:rsidRPr="005B5BAF">
              <w:rPr>
                <w:rFonts w:asciiTheme="minorHAnsi" w:hAnsiTheme="minorHAnsi"/>
                <w:sz w:val="18"/>
                <w:szCs w:val="18"/>
              </w:rPr>
              <w:t>Crónico (1, 2, 3 y 4)</w:t>
            </w:r>
          </w:p>
        </w:tc>
      </w:tr>
      <w:tr w:rsidR="0069386C" w:rsidRPr="005B5BAF" w:rsidTr="00CA283F">
        <w:trPr>
          <w:jc w:val="center"/>
        </w:trPr>
        <w:tc>
          <w:tcPr>
            <w:cnfStyle w:val="001000000000" w:firstRow="0" w:lastRow="0" w:firstColumn="1" w:lastColumn="0" w:oddVBand="0" w:evenVBand="0" w:oddHBand="0" w:evenHBand="0" w:firstRowFirstColumn="0" w:firstRowLastColumn="0" w:lastRowFirstColumn="0" w:lastRowLastColumn="0"/>
            <w:tcW w:w="1951" w:type="dxa"/>
            <w:vAlign w:val="center"/>
          </w:tcPr>
          <w:p w:rsidR="0069386C" w:rsidRPr="005B5BAF" w:rsidRDefault="0069386C" w:rsidP="00CA283F">
            <w:pPr>
              <w:pStyle w:val="ListParagraph"/>
              <w:ind w:left="0"/>
              <w:jc w:val="left"/>
              <w:rPr>
                <w:rFonts w:asciiTheme="minorHAnsi" w:hAnsiTheme="minorHAnsi"/>
                <w:sz w:val="18"/>
                <w:szCs w:val="18"/>
              </w:rPr>
            </w:pPr>
            <w:r w:rsidRPr="005B5BAF">
              <w:rPr>
                <w:rFonts w:asciiTheme="minorHAnsi" w:hAnsiTheme="minorHAnsi"/>
                <w:sz w:val="18"/>
                <w:szCs w:val="18"/>
              </w:rPr>
              <w:t>2. Gases inflamables</w:t>
            </w:r>
          </w:p>
        </w:tc>
        <w:tc>
          <w:tcPr>
            <w:tcW w:w="1418" w:type="dxa"/>
            <w:vAlign w:val="center"/>
          </w:tcPr>
          <w:p w:rsidR="0069386C" w:rsidRPr="005B5BAF" w:rsidRDefault="0069386C" w:rsidP="00CA283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1 y 2</w:t>
            </w:r>
          </w:p>
        </w:tc>
        <w:tc>
          <w:tcPr>
            <w:tcW w:w="1984" w:type="dxa"/>
            <w:vAlign w:val="center"/>
          </w:tcPr>
          <w:p w:rsidR="0069386C" w:rsidRPr="005B5BAF" w:rsidRDefault="0069386C" w:rsidP="00CA283F">
            <w:pPr>
              <w:pStyle w:val="ListParagraph"/>
              <w:ind w:left="0"/>
              <w:jc w:val="left"/>
              <w:cnfStyle w:val="000000000000" w:firstRow="0" w:lastRow="0" w:firstColumn="0" w:lastColumn="0" w:oddVBand="0" w:evenVBand="0" w:oddHBand="0" w:evenHBand="0" w:firstRowFirstColumn="0" w:firstRowLastColumn="0" w:lastRowFirstColumn="0" w:lastRowLastColumn="0"/>
              <w:rPr>
                <w:rFonts w:asciiTheme="minorHAnsi" w:hAnsiTheme="minorHAnsi"/>
                <w:b/>
                <w:sz w:val="18"/>
                <w:szCs w:val="18"/>
              </w:rPr>
            </w:pPr>
            <w:r w:rsidRPr="005B5BAF">
              <w:rPr>
                <w:rFonts w:asciiTheme="minorHAnsi" w:hAnsiTheme="minorHAnsi"/>
                <w:b/>
                <w:sz w:val="18"/>
                <w:szCs w:val="18"/>
              </w:rPr>
              <w:t>2. Corrosión e irritación cutánea</w:t>
            </w:r>
          </w:p>
        </w:tc>
        <w:tc>
          <w:tcPr>
            <w:tcW w:w="1843" w:type="dxa"/>
            <w:vAlign w:val="center"/>
          </w:tcPr>
          <w:p w:rsidR="0069386C" w:rsidRPr="005B5BAF" w:rsidRDefault="0069386C" w:rsidP="00CA283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1 (corrosiva): 1A, 1B y 1C</w:t>
            </w:r>
          </w:p>
          <w:p w:rsidR="0069386C" w:rsidRPr="005B5BAF" w:rsidRDefault="0069386C" w:rsidP="00CA283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2 (irritantes)</w:t>
            </w:r>
          </w:p>
        </w:tc>
        <w:tc>
          <w:tcPr>
            <w:tcW w:w="1702" w:type="dxa"/>
            <w:vAlign w:val="center"/>
          </w:tcPr>
          <w:p w:rsidR="0069386C" w:rsidRPr="005B5BAF" w:rsidRDefault="0069386C" w:rsidP="00CA283F">
            <w:pPr>
              <w:pStyle w:val="ListParagraph"/>
              <w:ind w:left="0"/>
              <w:jc w:val="left"/>
              <w:cnfStyle w:val="000000000000" w:firstRow="0" w:lastRow="0" w:firstColumn="0" w:lastColumn="0" w:oddVBand="0" w:evenVBand="0" w:oddHBand="0" w:evenHBand="0" w:firstRowFirstColumn="0" w:firstRowLastColumn="0" w:lastRowFirstColumn="0" w:lastRowLastColumn="0"/>
              <w:rPr>
                <w:rFonts w:asciiTheme="minorHAnsi" w:hAnsiTheme="minorHAnsi"/>
                <w:b/>
                <w:sz w:val="18"/>
                <w:szCs w:val="18"/>
              </w:rPr>
            </w:pPr>
            <w:r w:rsidRPr="005B5BAF">
              <w:rPr>
                <w:rFonts w:asciiTheme="minorHAnsi" w:hAnsiTheme="minorHAnsi"/>
                <w:b/>
                <w:sz w:val="18"/>
                <w:szCs w:val="18"/>
              </w:rPr>
              <w:t>2. Sustancias y mezclas peligrosas para la capa de ozono</w:t>
            </w:r>
          </w:p>
        </w:tc>
        <w:tc>
          <w:tcPr>
            <w:tcW w:w="1241" w:type="dxa"/>
            <w:vAlign w:val="center"/>
          </w:tcPr>
          <w:p w:rsidR="0069386C" w:rsidRPr="005B5BAF" w:rsidRDefault="0069386C" w:rsidP="00CA283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1</w:t>
            </w:r>
          </w:p>
        </w:tc>
      </w:tr>
      <w:tr w:rsidR="0069386C" w:rsidRPr="005B5BAF" w:rsidTr="00CA28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51" w:type="dxa"/>
            <w:tcBorders>
              <w:top w:val="none" w:sz="0" w:space="0" w:color="auto"/>
              <w:left w:val="none" w:sz="0" w:space="0" w:color="auto"/>
              <w:bottom w:val="none" w:sz="0" w:space="0" w:color="auto"/>
            </w:tcBorders>
            <w:vAlign w:val="center"/>
          </w:tcPr>
          <w:p w:rsidR="0069386C" w:rsidRPr="005B5BAF" w:rsidRDefault="0069386C" w:rsidP="00CA283F">
            <w:pPr>
              <w:pStyle w:val="ListParagraph"/>
              <w:ind w:left="0"/>
              <w:jc w:val="left"/>
              <w:rPr>
                <w:rFonts w:asciiTheme="minorHAnsi" w:hAnsiTheme="minorHAnsi"/>
                <w:sz w:val="18"/>
                <w:szCs w:val="18"/>
              </w:rPr>
            </w:pPr>
            <w:r w:rsidRPr="005B5BAF">
              <w:rPr>
                <w:rFonts w:asciiTheme="minorHAnsi" w:hAnsiTheme="minorHAnsi"/>
                <w:sz w:val="18"/>
                <w:szCs w:val="18"/>
              </w:rPr>
              <w:t>3. Aerosoles inflamables</w:t>
            </w:r>
          </w:p>
        </w:tc>
        <w:tc>
          <w:tcPr>
            <w:tcW w:w="1418" w:type="dxa"/>
            <w:tcBorders>
              <w:top w:val="none" w:sz="0" w:space="0" w:color="auto"/>
              <w:bottom w:val="none" w:sz="0" w:space="0" w:color="auto"/>
            </w:tcBorders>
            <w:vAlign w:val="center"/>
          </w:tcPr>
          <w:p w:rsidR="0069386C" w:rsidRPr="005B5BAF" w:rsidRDefault="0069386C" w:rsidP="00CA283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1 y 2</w:t>
            </w:r>
          </w:p>
        </w:tc>
        <w:tc>
          <w:tcPr>
            <w:tcW w:w="1984" w:type="dxa"/>
            <w:tcBorders>
              <w:top w:val="none" w:sz="0" w:space="0" w:color="auto"/>
              <w:bottom w:val="none" w:sz="0" w:space="0" w:color="auto"/>
            </w:tcBorders>
            <w:vAlign w:val="center"/>
          </w:tcPr>
          <w:p w:rsidR="0069386C" w:rsidRPr="005B5BAF" w:rsidRDefault="0069386C" w:rsidP="00CA283F">
            <w:pPr>
              <w:pStyle w:val="ListParagraph"/>
              <w:ind w:left="0"/>
              <w:jc w:val="left"/>
              <w:cnfStyle w:val="000000100000" w:firstRow="0" w:lastRow="0" w:firstColumn="0" w:lastColumn="0" w:oddVBand="0" w:evenVBand="0" w:oddHBand="1" w:evenHBand="0" w:firstRowFirstColumn="0" w:firstRowLastColumn="0" w:lastRowFirstColumn="0" w:lastRowLastColumn="0"/>
              <w:rPr>
                <w:rFonts w:asciiTheme="minorHAnsi" w:hAnsiTheme="minorHAnsi"/>
                <w:b/>
                <w:sz w:val="18"/>
                <w:szCs w:val="18"/>
              </w:rPr>
            </w:pPr>
            <w:r w:rsidRPr="005B5BAF">
              <w:rPr>
                <w:rFonts w:asciiTheme="minorHAnsi" w:hAnsiTheme="minorHAnsi"/>
                <w:b/>
                <w:sz w:val="18"/>
                <w:szCs w:val="18"/>
              </w:rPr>
              <w:t>3. Lesiones oculares graves o irritación ocular</w:t>
            </w:r>
          </w:p>
        </w:tc>
        <w:tc>
          <w:tcPr>
            <w:tcW w:w="1843" w:type="dxa"/>
            <w:tcBorders>
              <w:top w:val="none" w:sz="0" w:space="0" w:color="auto"/>
              <w:bottom w:val="none" w:sz="0" w:space="0" w:color="auto"/>
            </w:tcBorders>
            <w:vAlign w:val="center"/>
          </w:tcPr>
          <w:p w:rsidR="0069386C" w:rsidRPr="005B5BAF" w:rsidRDefault="0069386C" w:rsidP="00CA283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1 (irreversibles) y 2 (reversibles)</w:t>
            </w:r>
          </w:p>
        </w:tc>
        <w:tc>
          <w:tcPr>
            <w:tcW w:w="2943" w:type="dxa"/>
            <w:gridSpan w:val="2"/>
            <w:vMerge w:val="restart"/>
            <w:tcBorders>
              <w:top w:val="none" w:sz="0" w:space="0" w:color="auto"/>
              <w:bottom w:val="none" w:sz="0" w:space="0" w:color="auto"/>
              <w:right w:val="none" w:sz="0" w:space="0" w:color="auto"/>
            </w:tcBorders>
            <w:vAlign w:val="center"/>
          </w:tcPr>
          <w:p w:rsidR="0069386C" w:rsidRPr="005B5BAF" w:rsidRDefault="0069386C" w:rsidP="00CA283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18"/>
                <w:szCs w:val="18"/>
              </w:rPr>
            </w:pPr>
          </w:p>
        </w:tc>
      </w:tr>
      <w:tr w:rsidR="0069386C" w:rsidRPr="00B51166" w:rsidTr="00CA283F">
        <w:trPr>
          <w:jc w:val="center"/>
        </w:trPr>
        <w:tc>
          <w:tcPr>
            <w:cnfStyle w:val="001000000000" w:firstRow="0" w:lastRow="0" w:firstColumn="1" w:lastColumn="0" w:oddVBand="0" w:evenVBand="0" w:oddHBand="0" w:evenHBand="0" w:firstRowFirstColumn="0" w:firstRowLastColumn="0" w:lastRowFirstColumn="0" w:lastRowLastColumn="0"/>
            <w:tcW w:w="1951" w:type="dxa"/>
            <w:vAlign w:val="center"/>
          </w:tcPr>
          <w:p w:rsidR="0069386C" w:rsidRPr="005B5BAF" w:rsidRDefault="0069386C" w:rsidP="00CA283F">
            <w:pPr>
              <w:pStyle w:val="ListParagraph"/>
              <w:ind w:left="0"/>
              <w:jc w:val="left"/>
              <w:rPr>
                <w:rFonts w:asciiTheme="minorHAnsi" w:hAnsiTheme="minorHAnsi"/>
                <w:sz w:val="18"/>
                <w:szCs w:val="18"/>
              </w:rPr>
            </w:pPr>
            <w:r w:rsidRPr="005B5BAF">
              <w:rPr>
                <w:rFonts w:asciiTheme="minorHAnsi" w:hAnsiTheme="minorHAnsi"/>
                <w:sz w:val="18"/>
                <w:szCs w:val="18"/>
              </w:rPr>
              <w:t>4. Gases Comburentes</w:t>
            </w:r>
          </w:p>
        </w:tc>
        <w:tc>
          <w:tcPr>
            <w:tcW w:w="1418" w:type="dxa"/>
            <w:vAlign w:val="center"/>
          </w:tcPr>
          <w:p w:rsidR="0069386C" w:rsidRPr="005B5BAF" w:rsidRDefault="0069386C" w:rsidP="00CA283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1</w:t>
            </w:r>
          </w:p>
        </w:tc>
        <w:tc>
          <w:tcPr>
            <w:tcW w:w="1984" w:type="dxa"/>
            <w:vAlign w:val="center"/>
          </w:tcPr>
          <w:p w:rsidR="0069386C" w:rsidRPr="005B5BAF" w:rsidRDefault="0069386C" w:rsidP="00CA283F">
            <w:pPr>
              <w:pStyle w:val="ListParagraph"/>
              <w:ind w:left="0"/>
              <w:jc w:val="left"/>
              <w:cnfStyle w:val="000000000000" w:firstRow="0" w:lastRow="0" w:firstColumn="0" w:lastColumn="0" w:oddVBand="0" w:evenVBand="0" w:oddHBand="0" w:evenHBand="0" w:firstRowFirstColumn="0" w:firstRowLastColumn="0" w:lastRowFirstColumn="0" w:lastRowLastColumn="0"/>
              <w:rPr>
                <w:rFonts w:asciiTheme="minorHAnsi" w:hAnsiTheme="minorHAnsi"/>
                <w:b/>
                <w:sz w:val="18"/>
                <w:szCs w:val="18"/>
              </w:rPr>
            </w:pPr>
            <w:r w:rsidRPr="005B5BAF">
              <w:rPr>
                <w:rFonts w:asciiTheme="minorHAnsi" w:hAnsiTheme="minorHAnsi"/>
                <w:b/>
                <w:sz w:val="18"/>
                <w:szCs w:val="18"/>
              </w:rPr>
              <w:t>4. Sensibilización respiratoria o cutánea</w:t>
            </w:r>
          </w:p>
        </w:tc>
        <w:tc>
          <w:tcPr>
            <w:tcW w:w="1843" w:type="dxa"/>
            <w:vAlign w:val="center"/>
          </w:tcPr>
          <w:p w:rsidR="0069386C" w:rsidRPr="005B5BAF" w:rsidRDefault="0069386C" w:rsidP="00CA283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lang w:val="en-US"/>
              </w:rPr>
            </w:pPr>
            <w:r w:rsidRPr="005B5BAF">
              <w:rPr>
                <w:rFonts w:asciiTheme="minorHAnsi" w:hAnsiTheme="minorHAnsi"/>
                <w:sz w:val="18"/>
                <w:szCs w:val="18"/>
                <w:lang w:val="en-US"/>
              </w:rPr>
              <w:t>Sensib.Res.Cat.1</w:t>
            </w:r>
          </w:p>
          <w:p w:rsidR="0069386C" w:rsidRPr="005B5BAF" w:rsidRDefault="0069386C" w:rsidP="00CA283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lang w:val="en-US"/>
              </w:rPr>
            </w:pPr>
            <w:r w:rsidRPr="005B5BAF">
              <w:rPr>
                <w:rFonts w:asciiTheme="minorHAnsi" w:hAnsiTheme="minorHAnsi"/>
                <w:sz w:val="18"/>
                <w:szCs w:val="18"/>
                <w:lang w:val="en-US"/>
              </w:rPr>
              <w:t>Sensib.Cut.Cat 1</w:t>
            </w:r>
          </w:p>
        </w:tc>
        <w:tc>
          <w:tcPr>
            <w:tcW w:w="2943" w:type="dxa"/>
            <w:gridSpan w:val="2"/>
            <w:vMerge/>
            <w:vAlign w:val="center"/>
          </w:tcPr>
          <w:p w:rsidR="0069386C" w:rsidRPr="005B5BAF" w:rsidRDefault="0069386C" w:rsidP="00CA283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lang w:val="en-US"/>
              </w:rPr>
            </w:pPr>
          </w:p>
        </w:tc>
      </w:tr>
      <w:tr w:rsidR="0069386C" w:rsidRPr="005B5BAF" w:rsidTr="00CA28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51" w:type="dxa"/>
            <w:tcBorders>
              <w:top w:val="none" w:sz="0" w:space="0" w:color="auto"/>
              <w:left w:val="none" w:sz="0" w:space="0" w:color="auto"/>
              <w:bottom w:val="none" w:sz="0" w:space="0" w:color="auto"/>
            </w:tcBorders>
            <w:vAlign w:val="center"/>
          </w:tcPr>
          <w:p w:rsidR="0069386C" w:rsidRPr="005B5BAF" w:rsidRDefault="0069386C" w:rsidP="00CA283F">
            <w:pPr>
              <w:pStyle w:val="ListParagraph"/>
              <w:ind w:left="0"/>
              <w:jc w:val="left"/>
              <w:rPr>
                <w:rFonts w:asciiTheme="minorHAnsi" w:hAnsiTheme="minorHAnsi"/>
                <w:sz w:val="18"/>
                <w:szCs w:val="18"/>
              </w:rPr>
            </w:pPr>
            <w:r w:rsidRPr="005B5BAF">
              <w:rPr>
                <w:rFonts w:asciiTheme="minorHAnsi" w:hAnsiTheme="minorHAnsi"/>
                <w:sz w:val="18"/>
                <w:szCs w:val="18"/>
              </w:rPr>
              <w:t>5. Gases a presión</w:t>
            </w:r>
          </w:p>
        </w:tc>
        <w:tc>
          <w:tcPr>
            <w:tcW w:w="1418" w:type="dxa"/>
            <w:tcBorders>
              <w:top w:val="none" w:sz="0" w:space="0" w:color="auto"/>
              <w:bottom w:val="none" w:sz="0" w:space="0" w:color="auto"/>
            </w:tcBorders>
            <w:vAlign w:val="center"/>
          </w:tcPr>
          <w:p w:rsidR="0069386C" w:rsidRPr="005B5BAF" w:rsidRDefault="0069386C" w:rsidP="00CA283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Comprimidos, licuados, licuados-refrigerados y disueltos</w:t>
            </w:r>
          </w:p>
        </w:tc>
        <w:tc>
          <w:tcPr>
            <w:tcW w:w="1984" w:type="dxa"/>
            <w:tcBorders>
              <w:top w:val="none" w:sz="0" w:space="0" w:color="auto"/>
              <w:bottom w:val="none" w:sz="0" w:space="0" w:color="auto"/>
            </w:tcBorders>
            <w:vAlign w:val="center"/>
          </w:tcPr>
          <w:p w:rsidR="0069386C" w:rsidRPr="005B5BAF" w:rsidRDefault="0069386C" w:rsidP="00CA283F">
            <w:pPr>
              <w:pStyle w:val="ListParagraph"/>
              <w:ind w:left="0"/>
              <w:jc w:val="left"/>
              <w:cnfStyle w:val="000000100000" w:firstRow="0" w:lastRow="0" w:firstColumn="0" w:lastColumn="0" w:oddVBand="0" w:evenVBand="0" w:oddHBand="1" w:evenHBand="0" w:firstRowFirstColumn="0" w:firstRowLastColumn="0" w:lastRowFirstColumn="0" w:lastRowLastColumn="0"/>
              <w:rPr>
                <w:rFonts w:asciiTheme="minorHAnsi" w:hAnsiTheme="minorHAnsi"/>
                <w:b/>
                <w:sz w:val="18"/>
                <w:szCs w:val="18"/>
              </w:rPr>
            </w:pPr>
            <w:r w:rsidRPr="005B5BAF">
              <w:rPr>
                <w:rFonts w:asciiTheme="minorHAnsi" w:hAnsiTheme="minorHAnsi"/>
                <w:b/>
                <w:sz w:val="18"/>
                <w:szCs w:val="18"/>
              </w:rPr>
              <w:t>5. Mutagenicidad en células terminales</w:t>
            </w:r>
          </w:p>
        </w:tc>
        <w:tc>
          <w:tcPr>
            <w:tcW w:w="1843" w:type="dxa"/>
            <w:tcBorders>
              <w:top w:val="none" w:sz="0" w:space="0" w:color="auto"/>
              <w:bottom w:val="none" w:sz="0" w:space="0" w:color="auto"/>
            </w:tcBorders>
            <w:vAlign w:val="center"/>
          </w:tcPr>
          <w:p w:rsidR="0069386C" w:rsidRPr="005B5BAF" w:rsidRDefault="0069386C" w:rsidP="00CA283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1 (1A y 1B) y 2</w:t>
            </w:r>
          </w:p>
        </w:tc>
        <w:tc>
          <w:tcPr>
            <w:tcW w:w="2943" w:type="dxa"/>
            <w:gridSpan w:val="2"/>
            <w:vMerge/>
            <w:tcBorders>
              <w:top w:val="none" w:sz="0" w:space="0" w:color="auto"/>
              <w:bottom w:val="none" w:sz="0" w:space="0" w:color="auto"/>
              <w:right w:val="none" w:sz="0" w:space="0" w:color="auto"/>
            </w:tcBorders>
            <w:vAlign w:val="center"/>
          </w:tcPr>
          <w:p w:rsidR="0069386C" w:rsidRPr="005B5BAF" w:rsidRDefault="0069386C" w:rsidP="00CA283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18"/>
                <w:szCs w:val="18"/>
              </w:rPr>
            </w:pPr>
          </w:p>
        </w:tc>
      </w:tr>
      <w:tr w:rsidR="0069386C" w:rsidRPr="005B5BAF" w:rsidTr="00CA283F">
        <w:trPr>
          <w:jc w:val="center"/>
        </w:trPr>
        <w:tc>
          <w:tcPr>
            <w:cnfStyle w:val="001000000000" w:firstRow="0" w:lastRow="0" w:firstColumn="1" w:lastColumn="0" w:oddVBand="0" w:evenVBand="0" w:oddHBand="0" w:evenHBand="0" w:firstRowFirstColumn="0" w:firstRowLastColumn="0" w:lastRowFirstColumn="0" w:lastRowLastColumn="0"/>
            <w:tcW w:w="1951" w:type="dxa"/>
            <w:vAlign w:val="center"/>
          </w:tcPr>
          <w:p w:rsidR="0069386C" w:rsidRPr="005B5BAF" w:rsidRDefault="0069386C" w:rsidP="00CA283F">
            <w:pPr>
              <w:pStyle w:val="ListParagraph"/>
              <w:ind w:left="0"/>
              <w:jc w:val="left"/>
              <w:rPr>
                <w:rFonts w:asciiTheme="minorHAnsi" w:hAnsiTheme="minorHAnsi"/>
                <w:sz w:val="18"/>
                <w:szCs w:val="18"/>
              </w:rPr>
            </w:pPr>
            <w:r w:rsidRPr="005B5BAF">
              <w:rPr>
                <w:rFonts w:asciiTheme="minorHAnsi" w:hAnsiTheme="minorHAnsi"/>
                <w:sz w:val="18"/>
                <w:szCs w:val="18"/>
              </w:rPr>
              <w:t>6. Líquidos inflamables</w:t>
            </w:r>
          </w:p>
        </w:tc>
        <w:tc>
          <w:tcPr>
            <w:tcW w:w="1418" w:type="dxa"/>
            <w:vAlign w:val="center"/>
          </w:tcPr>
          <w:p w:rsidR="0069386C" w:rsidRPr="005B5BAF" w:rsidRDefault="0069386C" w:rsidP="00CA283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1,2 y 3</w:t>
            </w:r>
          </w:p>
        </w:tc>
        <w:tc>
          <w:tcPr>
            <w:tcW w:w="1984" w:type="dxa"/>
            <w:vAlign w:val="center"/>
          </w:tcPr>
          <w:p w:rsidR="0069386C" w:rsidRPr="005B5BAF" w:rsidRDefault="0069386C" w:rsidP="00CA283F">
            <w:pPr>
              <w:pStyle w:val="ListParagraph"/>
              <w:ind w:left="0"/>
              <w:jc w:val="left"/>
              <w:cnfStyle w:val="000000000000" w:firstRow="0" w:lastRow="0" w:firstColumn="0" w:lastColumn="0" w:oddVBand="0" w:evenVBand="0" w:oddHBand="0" w:evenHBand="0" w:firstRowFirstColumn="0" w:firstRowLastColumn="0" w:lastRowFirstColumn="0" w:lastRowLastColumn="0"/>
              <w:rPr>
                <w:rFonts w:asciiTheme="minorHAnsi" w:hAnsiTheme="minorHAnsi"/>
                <w:b/>
                <w:sz w:val="18"/>
                <w:szCs w:val="18"/>
              </w:rPr>
            </w:pPr>
            <w:r w:rsidRPr="005B5BAF">
              <w:rPr>
                <w:rFonts w:asciiTheme="minorHAnsi" w:hAnsiTheme="minorHAnsi"/>
                <w:b/>
                <w:sz w:val="18"/>
                <w:szCs w:val="18"/>
              </w:rPr>
              <w:t>6. Carcinógenos</w:t>
            </w:r>
          </w:p>
        </w:tc>
        <w:tc>
          <w:tcPr>
            <w:tcW w:w="1843" w:type="dxa"/>
            <w:vAlign w:val="center"/>
          </w:tcPr>
          <w:p w:rsidR="0069386C" w:rsidRPr="005B5BAF" w:rsidRDefault="0069386C" w:rsidP="00CA283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1 (1A y 1B) y 2</w:t>
            </w:r>
          </w:p>
        </w:tc>
        <w:tc>
          <w:tcPr>
            <w:tcW w:w="2943" w:type="dxa"/>
            <w:gridSpan w:val="2"/>
            <w:vMerge/>
            <w:vAlign w:val="center"/>
          </w:tcPr>
          <w:p w:rsidR="0069386C" w:rsidRPr="005B5BAF" w:rsidRDefault="0069386C" w:rsidP="00CA283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p>
        </w:tc>
      </w:tr>
      <w:tr w:rsidR="0069386C" w:rsidRPr="005B5BAF" w:rsidTr="00CA28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51" w:type="dxa"/>
            <w:tcBorders>
              <w:top w:val="none" w:sz="0" w:space="0" w:color="auto"/>
              <w:left w:val="none" w:sz="0" w:space="0" w:color="auto"/>
              <w:bottom w:val="none" w:sz="0" w:space="0" w:color="auto"/>
            </w:tcBorders>
            <w:vAlign w:val="center"/>
          </w:tcPr>
          <w:p w:rsidR="0069386C" w:rsidRPr="005B5BAF" w:rsidRDefault="0069386C" w:rsidP="00CA283F">
            <w:pPr>
              <w:pStyle w:val="ListParagraph"/>
              <w:ind w:left="0"/>
              <w:jc w:val="left"/>
              <w:rPr>
                <w:rFonts w:asciiTheme="minorHAnsi" w:hAnsiTheme="minorHAnsi"/>
                <w:sz w:val="18"/>
                <w:szCs w:val="18"/>
              </w:rPr>
            </w:pPr>
            <w:r w:rsidRPr="005B5BAF">
              <w:rPr>
                <w:rFonts w:asciiTheme="minorHAnsi" w:hAnsiTheme="minorHAnsi"/>
                <w:sz w:val="18"/>
                <w:szCs w:val="18"/>
              </w:rPr>
              <w:t>7. Sólidos inflamables</w:t>
            </w:r>
          </w:p>
        </w:tc>
        <w:tc>
          <w:tcPr>
            <w:tcW w:w="1418" w:type="dxa"/>
            <w:tcBorders>
              <w:top w:val="none" w:sz="0" w:space="0" w:color="auto"/>
              <w:bottom w:val="none" w:sz="0" w:space="0" w:color="auto"/>
            </w:tcBorders>
            <w:vAlign w:val="center"/>
          </w:tcPr>
          <w:p w:rsidR="0069386C" w:rsidRPr="005B5BAF" w:rsidRDefault="0069386C" w:rsidP="00CA283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1 y 2</w:t>
            </w:r>
          </w:p>
        </w:tc>
        <w:tc>
          <w:tcPr>
            <w:tcW w:w="1984" w:type="dxa"/>
            <w:tcBorders>
              <w:top w:val="none" w:sz="0" w:space="0" w:color="auto"/>
              <w:bottom w:val="none" w:sz="0" w:space="0" w:color="auto"/>
            </w:tcBorders>
            <w:vAlign w:val="center"/>
          </w:tcPr>
          <w:p w:rsidR="0069386C" w:rsidRPr="005B5BAF" w:rsidRDefault="0069386C" w:rsidP="00CA283F">
            <w:pPr>
              <w:pStyle w:val="ListParagraph"/>
              <w:ind w:left="0"/>
              <w:jc w:val="left"/>
              <w:cnfStyle w:val="000000100000" w:firstRow="0" w:lastRow="0" w:firstColumn="0" w:lastColumn="0" w:oddVBand="0" w:evenVBand="0" w:oddHBand="1" w:evenHBand="0" w:firstRowFirstColumn="0" w:firstRowLastColumn="0" w:lastRowFirstColumn="0" w:lastRowLastColumn="0"/>
              <w:rPr>
                <w:rFonts w:asciiTheme="minorHAnsi" w:hAnsiTheme="minorHAnsi"/>
                <w:b/>
                <w:sz w:val="18"/>
                <w:szCs w:val="18"/>
              </w:rPr>
            </w:pPr>
            <w:r w:rsidRPr="005B5BAF">
              <w:rPr>
                <w:rFonts w:asciiTheme="minorHAnsi" w:hAnsiTheme="minorHAnsi"/>
                <w:b/>
                <w:sz w:val="18"/>
                <w:szCs w:val="18"/>
              </w:rPr>
              <w:t>7. Toxicidad para la reproducción</w:t>
            </w:r>
          </w:p>
        </w:tc>
        <w:tc>
          <w:tcPr>
            <w:tcW w:w="1843" w:type="dxa"/>
            <w:tcBorders>
              <w:top w:val="none" w:sz="0" w:space="0" w:color="auto"/>
              <w:bottom w:val="none" w:sz="0" w:space="0" w:color="auto"/>
            </w:tcBorders>
            <w:vAlign w:val="center"/>
          </w:tcPr>
          <w:p w:rsidR="0069386C" w:rsidRPr="005B5BAF" w:rsidRDefault="0069386C" w:rsidP="00CA283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1 (1A y 1B) y 2 y efectos sobre la lactancias o a través de ella</w:t>
            </w:r>
          </w:p>
        </w:tc>
        <w:tc>
          <w:tcPr>
            <w:tcW w:w="2943" w:type="dxa"/>
            <w:gridSpan w:val="2"/>
            <w:vMerge/>
            <w:tcBorders>
              <w:top w:val="none" w:sz="0" w:space="0" w:color="auto"/>
              <w:bottom w:val="none" w:sz="0" w:space="0" w:color="auto"/>
              <w:right w:val="none" w:sz="0" w:space="0" w:color="auto"/>
            </w:tcBorders>
            <w:vAlign w:val="center"/>
          </w:tcPr>
          <w:p w:rsidR="0069386C" w:rsidRPr="005B5BAF" w:rsidRDefault="0069386C" w:rsidP="00CA283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18"/>
                <w:szCs w:val="18"/>
              </w:rPr>
            </w:pPr>
          </w:p>
        </w:tc>
      </w:tr>
      <w:tr w:rsidR="0069386C" w:rsidRPr="005B5BAF" w:rsidTr="00CA283F">
        <w:trPr>
          <w:jc w:val="center"/>
        </w:trPr>
        <w:tc>
          <w:tcPr>
            <w:cnfStyle w:val="001000000000" w:firstRow="0" w:lastRow="0" w:firstColumn="1" w:lastColumn="0" w:oddVBand="0" w:evenVBand="0" w:oddHBand="0" w:evenHBand="0" w:firstRowFirstColumn="0" w:firstRowLastColumn="0" w:lastRowFirstColumn="0" w:lastRowLastColumn="0"/>
            <w:tcW w:w="1951" w:type="dxa"/>
            <w:vAlign w:val="center"/>
          </w:tcPr>
          <w:p w:rsidR="0069386C" w:rsidRPr="005B5BAF" w:rsidRDefault="0069386C" w:rsidP="00CA283F">
            <w:pPr>
              <w:pStyle w:val="ListParagraph"/>
              <w:ind w:left="0"/>
              <w:jc w:val="left"/>
              <w:rPr>
                <w:rFonts w:asciiTheme="minorHAnsi" w:hAnsiTheme="minorHAnsi"/>
                <w:sz w:val="18"/>
                <w:szCs w:val="18"/>
              </w:rPr>
            </w:pPr>
            <w:r w:rsidRPr="005B5BAF">
              <w:rPr>
                <w:rFonts w:asciiTheme="minorHAnsi" w:hAnsiTheme="minorHAnsi"/>
                <w:sz w:val="18"/>
                <w:szCs w:val="18"/>
              </w:rPr>
              <w:t>8. Sustancias y mezclas que reaccionan espontáneamente</w:t>
            </w:r>
          </w:p>
        </w:tc>
        <w:tc>
          <w:tcPr>
            <w:tcW w:w="1418" w:type="dxa"/>
            <w:vAlign w:val="center"/>
          </w:tcPr>
          <w:p w:rsidR="0069386C" w:rsidRPr="005B5BAF" w:rsidRDefault="0069386C" w:rsidP="00CA283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Tipo A,B,C,D,E,F y G</w:t>
            </w:r>
          </w:p>
        </w:tc>
        <w:tc>
          <w:tcPr>
            <w:tcW w:w="1984" w:type="dxa"/>
            <w:vAlign w:val="center"/>
          </w:tcPr>
          <w:p w:rsidR="0069386C" w:rsidRPr="005B5BAF" w:rsidRDefault="0069386C" w:rsidP="00CA283F">
            <w:pPr>
              <w:pStyle w:val="ListParagraph"/>
              <w:ind w:left="0"/>
              <w:jc w:val="left"/>
              <w:cnfStyle w:val="000000000000" w:firstRow="0" w:lastRow="0" w:firstColumn="0" w:lastColumn="0" w:oddVBand="0" w:evenVBand="0" w:oddHBand="0" w:evenHBand="0" w:firstRowFirstColumn="0" w:firstRowLastColumn="0" w:lastRowFirstColumn="0" w:lastRowLastColumn="0"/>
              <w:rPr>
                <w:rFonts w:asciiTheme="minorHAnsi" w:hAnsiTheme="minorHAnsi"/>
                <w:b/>
                <w:sz w:val="18"/>
                <w:szCs w:val="18"/>
              </w:rPr>
            </w:pPr>
            <w:r w:rsidRPr="005B5BAF">
              <w:rPr>
                <w:rFonts w:asciiTheme="minorHAnsi" w:hAnsiTheme="minorHAnsi"/>
                <w:b/>
                <w:sz w:val="18"/>
                <w:szCs w:val="18"/>
              </w:rPr>
              <w:t>8. Toxicidad específica en determinados órganos exposición única</w:t>
            </w:r>
          </w:p>
        </w:tc>
        <w:tc>
          <w:tcPr>
            <w:tcW w:w="1843" w:type="dxa"/>
            <w:vAlign w:val="center"/>
          </w:tcPr>
          <w:p w:rsidR="0069386C" w:rsidRPr="005B5BAF" w:rsidRDefault="0069386C" w:rsidP="00CA283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1, 2 y 3</w:t>
            </w:r>
          </w:p>
        </w:tc>
        <w:tc>
          <w:tcPr>
            <w:tcW w:w="2943" w:type="dxa"/>
            <w:gridSpan w:val="2"/>
            <w:vMerge/>
            <w:vAlign w:val="center"/>
          </w:tcPr>
          <w:p w:rsidR="0069386C" w:rsidRPr="005B5BAF" w:rsidRDefault="0069386C" w:rsidP="00CA283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p>
        </w:tc>
      </w:tr>
      <w:tr w:rsidR="0069386C" w:rsidRPr="005B5BAF" w:rsidTr="00CA28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51" w:type="dxa"/>
            <w:tcBorders>
              <w:top w:val="none" w:sz="0" w:space="0" w:color="auto"/>
              <w:left w:val="none" w:sz="0" w:space="0" w:color="auto"/>
              <w:bottom w:val="none" w:sz="0" w:space="0" w:color="auto"/>
            </w:tcBorders>
            <w:vAlign w:val="center"/>
          </w:tcPr>
          <w:p w:rsidR="0069386C" w:rsidRPr="005B5BAF" w:rsidRDefault="0069386C" w:rsidP="00CA283F">
            <w:pPr>
              <w:pStyle w:val="ListParagraph"/>
              <w:ind w:left="0"/>
              <w:jc w:val="left"/>
              <w:rPr>
                <w:rFonts w:asciiTheme="minorHAnsi" w:hAnsiTheme="minorHAnsi"/>
                <w:sz w:val="18"/>
                <w:szCs w:val="18"/>
              </w:rPr>
            </w:pPr>
            <w:r w:rsidRPr="005B5BAF">
              <w:rPr>
                <w:rFonts w:asciiTheme="minorHAnsi" w:hAnsiTheme="minorHAnsi"/>
                <w:sz w:val="18"/>
                <w:szCs w:val="18"/>
              </w:rPr>
              <w:t>9. Líquidos pirofóricos</w:t>
            </w:r>
          </w:p>
        </w:tc>
        <w:tc>
          <w:tcPr>
            <w:tcW w:w="1418" w:type="dxa"/>
            <w:tcBorders>
              <w:top w:val="none" w:sz="0" w:space="0" w:color="auto"/>
              <w:bottom w:val="none" w:sz="0" w:space="0" w:color="auto"/>
            </w:tcBorders>
            <w:vAlign w:val="center"/>
          </w:tcPr>
          <w:p w:rsidR="0069386C" w:rsidRPr="005B5BAF" w:rsidRDefault="0069386C" w:rsidP="00CA283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1</w:t>
            </w:r>
          </w:p>
        </w:tc>
        <w:tc>
          <w:tcPr>
            <w:tcW w:w="1984" w:type="dxa"/>
            <w:tcBorders>
              <w:top w:val="none" w:sz="0" w:space="0" w:color="auto"/>
              <w:bottom w:val="none" w:sz="0" w:space="0" w:color="auto"/>
            </w:tcBorders>
            <w:vAlign w:val="center"/>
          </w:tcPr>
          <w:p w:rsidR="0069386C" w:rsidRPr="005B5BAF" w:rsidRDefault="0069386C" w:rsidP="00CA283F">
            <w:pPr>
              <w:pStyle w:val="ListParagraph"/>
              <w:ind w:left="0"/>
              <w:jc w:val="left"/>
              <w:cnfStyle w:val="000000100000" w:firstRow="0" w:lastRow="0" w:firstColumn="0" w:lastColumn="0" w:oddVBand="0" w:evenVBand="0" w:oddHBand="1" w:evenHBand="0" w:firstRowFirstColumn="0" w:firstRowLastColumn="0" w:lastRowFirstColumn="0" w:lastRowLastColumn="0"/>
              <w:rPr>
                <w:rFonts w:asciiTheme="minorHAnsi" w:hAnsiTheme="minorHAnsi"/>
                <w:b/>
                <w:sz w:val="18"/>
                <w:szCs w:val="18"/>
              </w:rPr>
            </w:pPr>
            <w:r w:rsidRPr="005B5BAF">
              <w:rPr>
                <w:rFonts w:asciiTheme="minorHAnsi" w:hAnsiTheme="minorHAnsi"/>
                <w:b/>
                <w:sz w:val="18"/>
                <w:szCs w:val="18"/>
              </w:rPr>
              <w:t>9. Toxicidad específica en determinados órganos exposición repetida</w:t>
            </w:r>
          </w:p>
        </w:tc>
        <w:tc>
          <w:tcPr>
            <w:tcW w:w="1843" w:type="dxa"/>
            <w:tcBorders>
              <w:top w:val="none" w:sz="0" w:space="0" w:color="auto"/>
              <w:bottom w:val="none" w:sz="0" w:space="0" w:color="auto"/>
            </w:tcBorders>
            <w:vAlign w:val="center"/>
          </w:tcPr>
          <w:p w:rsidR="0069386C" w:rsidRPr="005B5BAF" w:rsidRDefault="0069386C" w:rsidP="00CA283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1 y 2</w:t>
            </w:r>
          </w:p>
        </w:tc>
        <w:tc>
          <w:tcPr>
            <w:tcW w:w="2943" w:type="dxa"/>
            <w:gridSpan w:val="2"/>
            <w:vMerge/>
            <w:tcBorders>
              <w:top w:val="none" w:sz="0" w:space="0" w:color="auto"/>
              <w:bottom w:val="none" w:sz="0" w:space="0" w:color="auto"/>
              <w:right w:val="none" w:sz="0" w:space="0" w:color="auto"/>
            </w:tcBorders>
            <w:vAlign w:val="center"/>
          </w:tcPr>
          <w:p w:rsidR="0069386C" w:rsidRPr="005B5BAF" w:rsidRDefault="0069386C" w:rsidP="00CA283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18"/>
                <w:szCs w:val="18"/>
              </w:rPr>
            </w:pPr>
          </w:p>
        </w:tc>
      </w:tr>
      <w:tr w:rsidR="0069386C" w:rsidRPr="005B5BAF" w:rsidTr="00CA283F">
        <w:trPr>
          <w:jc w:val="center"/>
        </w:trPr>
        <w:tc>
          <w:tcPr>
            <w:cnfStyle w:val="001000000000" w:firstRow="0" w:lastRow="0" w:firstColumn="1" w:lastColumn="0" w:oddVBand="0" w:evenVBand="0" w:oddHBand="0" w:evenHBand="0" w:firstRowFirstColumn="0" w:firstRowLastColumn="0" w:lastRowFirstColumn="0" w:lastRowLastColumn="0"/>
            <w:tcW w:w="1951" w:type="dxa"/>
            <w:vAlign w:val="center"/>
          </w:tcPr>
          <w:p w:rsidR="0069386C" w:rsidRPr="005B5BAF" w:rsidRDefault="0069386C" w:rsidP="00CA283F">
            <w:pPr>
              <w:pStyle w:val="ListParagraph"/>
              <w:ind w:left="0"/>
              <w:jc w:val="left"/>
              <w:rPr>
                <w:rFonts w:asciiTheme="minorHAnsi" w:hAnsiTheme="minorHAnsi"/>
                <w:sz w:val="18"/>
                <w:szCs w:val="18"/>
              </w:rPr>
            </w:pPr>
            <w:r w:rsidRPr="005B5BAF">
              <w:rPr>
                <w:rFonts w:asciiTheme="minorHAnsi" w:hAnsiTheme="minorHAnsi"/>
                <w:sz w:val="18"/>
                <w:szCs w:val="18"/>
              </w:rPr>
              <w:t>10. Sólidos pirofóricos</w:t>
            </w:r>
          </w:p>
        </w:tc>
        <w:tc>
          <w:tcPr>
            <w:tcW w:w="1418" w:type="dxa"/>
            <w:vAlign w:val="center"/>
          </w:tcPr>
          <w:p w:rsidR="0069386C" w:rsidRPr="005B5BAF" w:rsidRDefault="0069386C" w:rsidP="00CA283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1</w:t>
            </w:r>
          </w:p>
        </w:tc>
        <w:tc>
          <w:tcPr>
            <w:tcW w:w="1984" w:type="dxa"/>
            <w:vAlign w:val="center"/>
          </w:tcPr>
          <w:p w:rsidR="0069386C" w:rsidRPr="005B5BAF" w:rsidRDefault="0069386C" w:rsidP="00CA283F">
            <w:pPr>
              <w:pStyle w:val="ListParagraph"/>
              <w:ind w:left="0"/>
              <w:jc w:val="left"/>
              <w:cnfStyle w:val="000000000000" w:firstRow="0" w:lastRow="0" w:firstColumn="0" w:lastColumn="0" w:oddVBand="0" w:evenVBand="0" w:oddHBand="0" w:evenHBand="0" w:firstRowFirstColumn="0" w:firstRowLastColumn="0" w:lastRowFirstColumn="0" w:lastRowLastColumn="0"/>
              <w:rPr>
                <w:rFonts w:asciiTheme="minorHAnsi" w:hAnsiTheme="minorHAnsi"/>
                <w:b/>
                <w:sz w:val="18"/>
                <w:szCs w:val="18"/>
              </w:rPr>
            </w:pPr>
            <w:r w:rsidRPr="005B5BAF">
              <w:rPr>
                <w:rFonts w:asciiTheme="minorHAnsi" w:hAnsiTheme="minorHAnsi"/>
                <w:b/>
                <w:sz w:val="18"/>
                <w:szCs w:val="18"/>
              </w:rPr>
              <w:t>10. Toxicidad por aspiración</w:t>
            </w:r>
          </w:p>
        </w:tc>
        <w:tc>
          <w:tcPr>
            <w:tcW w:w="1843" w:type="dxa"/>
            <w:vAlign w:val="center"/>
          </w:tcPr>
          <w:p w:rsidR="0069386C" w:rsidRPr="005B5BAF" w:rsidRDefault="0069386C" w:rsidP="00CA283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1</w:t>
            </w:r>
          </w:p>
        </w:tc>
        <w:tc>
          <w:tcPr>
            <w:tcW w:w="2943" w:type="dxa"/>
            <w:gridSpan w:val="2"/>
            <w:vMerge/>
            <w:vAlign w:val="center"/>
          </w:tcPr>
          <w:p w:rsidR="0069386C" w:rsidRPr="005B5BAF" w:rsidRDefault="0069386C" w:rsidP="00CA283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p>
        </w:tc>
      </w:tr>
      <w:tr w:rsidR="0069386C" w:rsidRPr="005B5BAF" w:rsidTr="00CA28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51" w:type="dxa"/>
            <w:tcBorders>
              <w:top w:val="none" w:sz="0" w:space="0" w:color="auto"/>
              <w:left w:val="none" w:sz="0" w:space="0" w:color="auto"/>
              <w:bottom w:val="none" w:sz="0" w:space="0" w:color="auto"/>
            </w:tcBorders>
            <w:vAlign w:val="center"/>
          </w:tcPr>
          <w:p w:rsidR="0069386C" w:rsidRPr="005B5BAF" w:rsidRDefault="0069386C" w:rsidP="00CA283F">
            <w:pPr>
              <w:pStyle w:val="ListParagraph"/>
              <w:ind w:left="0"/>
              <w:jc w:val="left"/>
              <w:rPr>
                <w:rFonts w:asciiTheme="minorHAnsi" w:hAnsiTheme="minorHAnsi"/>
                <w:sz w:val="18"/>
                <w:szCs w:val="18"/>
              </w:rPr>
            </w:pPr>
            <w:r w:rsidRPr="005B5BAF">
              <w:rPr>
                <w:rFonts w:asciiTheme="minorHAnsi" w:hAnsiTheme="minorHAnsi"/>
                <w:sz w:val="18"/>
                <w:szCs w:val="18"/>
              </w:rPr>
              <w:t>11. Sustancias y mezclas que experimentan calentamiento espontáneo</w:t>
            </w:r>
          </w:p>
        </w:tc>
        <w:tc>
          <w:tcPr>
            <w:tcW w:w="1418" w:type="dxa"/>
            <w:tcBorders>
              <w:top w:val="none" w:sz="0" w:space="0" w:color="auto"/>
              <w:bottom w:val="none" w:sz="0" w:space="0" w:color="auto"/>
            </w:tcBorders>
            <w:vAlign w:val="center"/>
          </w:tcPr>
          <w:p w:rsidR="0069386C" w:rsidRPr="005B5BAF" w:rsidRDefault="0069386C" w:rsidP="00CA283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1 y 2</w:t>
            </w:r>
          </w:p>
        </w:tc>
        <w:tc>
          <w:tcPr>
            <w:tcW w:w="6770" w:type="dxa"/>
            <w:gridSpan w:val="4"/>
            <w:vMerge w:val="restart"/>
            <w:tcBorders>
              <w:top w:val="none" w:sz="0" w:space="0" w:color="auto"/>
              <w:bottom w:val="none" w:sz="0" w:space="0" w:color="auto"/>
              <w:right w:val="none" w:sz="0" w:space="0" w:color="auto"/>
            </w:tcBorders>
            <w:vAlign w:val="center"/>
          </w:tcPr>
          <w:p w:rsidR="0069386C" w:rsidRPr="005B5BAF" w:rsidRDefault="0069386C" w:rsidP="00CA283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b/>
                <w:sz w:val="18"/>
                <w:szCs w:val="18"/>
              </w:rPr>
            </w:pPr>
          </w:p>
        </w:tc>
      </w:tr>
      <w:tr w:rsidR="0069386C" w:rsidRPr="005B5BAF" w:rsidTr="00CA283F">
        <w:trPr>
          <w:jc w:val="center"/>
        </w:trPr>
        <w:tc>
          <w:tcPr>
            <w:cnfStyle w:val="001000000000" w:firstRow="0" w:lastRow="0" w:firstColumn="1" w:lastColumn="0" w:oddVBand="0" w:evenVBand="0" w:oddHBand="0" w:evenHBand="0" w:firstRowFirstColumn="0" w:firstRowLastColumn="0" w:lastRowFirstColumn="0" w:lastRowLastColumn="0"/>
            <w:tcW w:w="1951" w:type="dxa"/>
            <w:vAlign w:val="center"/>
          </w:tcPr>
          <w:p w:rsidR="0069386C" w:rsidRPr="005B5BAF" w:rsidRDefault="0069386C" w:rsidP="00CA283F">
            <w:pPr>
              <w:pStyle w:val="ListParagraph"/>
              <w:ind w:left="0"/>
              <w:jc w:val="left"/>
              <w:rPr>
                <w:rFonts w:asciiTheme="minorHAnsi" w:hAnsiTheme="minorHAnsi"/>
                <w:sz w:val="18"/>
                <w:szCs w:val="18"/>
              </w:rPr>
            </w:pPr>
            <w:r w:rsidRPr="005B5BAF">
              <w:rPr>
                <w:rFonts w:asciiTheme="minorHAnsi" w:hAnsiTheme="minorHAnsi"/>
                <w:sz w:val="18"/>
                <w:szCs w:val="18"/>
              </w:rPr>
              <w:t>12. Sustancias y mezclas que en contacto con agua desprenden gases inflamables</w:t>
            </w:r>
          </w:p>
        </w:tc>
        <w:tc>
          <w:tcPr>
            <w:tcW w:w="1418" w:type="dxa"/>
            <w:vAlign w:val="center"/>
          </w:tcPr>
          <w:p w:rsidR="0069386C" w:rsidRPr="005B5BAF" w:rsidRDefault="0069386C" w:rsidP="00CA283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1, 2 y 3</w:t>
            </w:r>
          </w:p>
        </w:tc>
        <w:tc>
          <w:tcPr>
            <w:tcW w:w="6770" w:type="dxa"/>
            <w:gridSpan w:val="4"/>
            <w:vMerge/>
            <w:vAlign w:val="center"/>
          </w:tcPr>
          <w:p w:rsidR="0069386C" w:rsidRPr="005B5BAF" w:rsidRDefault="0069386C" w:rsidP="00CA283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p>
        </w:tc>
      </w:tr>
      <w:tr w:rsidR="0069386C" w:rsidRPr="005B5BAF" w:rsidTr="00CA28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51" w:type="dxa"/>
            <w:tcBorders>
              <w:top w:val="none" w:sz="0" w:space="0" w:color="auto"/>
              <w:left w:val="none" w:sz="0" w:space="0" w:color="auto"/>
              <w:bottom w:val="none" w:sz="0" w:space="0" w:color="auto"/>
            </w:tcBorders>
            <w:vAlign w:val="center"/>
          </w:tcPr>
          <w:p w:rsidR="0069386C" w:rsidRPr="005B5BAF" w:rsidRDefault="0069386C" w:rsidP="00CA283F">
            <w:pPr>
              <w:pStyle w:val="ListParagraph"/>
              <w:ind w:left="0"/>
              <w:jc w:val="left"/>
              <w:rPr>
                <w:rFonts w:asciiTheme="minorHAnsi" w:hAnsiTheme="minorHAnsi"/>
                <w:sz w:val="18"/>
                <w:szCs w:val="18"/>
              </w:rPr>
            </w:pPr>
            <w:r w:rsidRPr="005B5BAF">
              <w:rPr>
                <w:rFonts w:asciiTheme="minorHAnsi" w:hAnsiTheme="minorHAnsi"/>
                <w:sz w:val="18"/>
                <w:szCs w:val="18"/>
              </w:rPr>
              <w:t>13. Líquidos comburentes</w:t>
            </w:r>
          </w:p>
        </w:tc>
        <w:tc>
          <w:tcPr>
            <w:tcW w:w="1418" w:type="dxa"/>
            <w:tcBorders>
              <w:top w:val="none" w:sz="0" w:space="0" w:color="auto"/>
              <w:bottom w:val="none" w:sz="0" w:space="0" w:color="auto"/>
            </w:tcBorders>
            <w:vAlign w:val="center"/>
          </w:tcPr>
          <w:p w:rsidR="0069386C" w:rsidRPr="005B5BAF" w:rsidRDefault="0069386C" w:rsidP="00CA283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1, 2 y 3</w:t>
            </w:r>
          </w:p>
        </w:tc>
        <w:tc>
          <w:tcPr>
            <w:tcW w:w="6770" w:type="dxa"/>
            <w:gridSpan w:val="4"/>
            <w:vMerge/>
            <w:tcBorders>
              <w:top w:val="none" w:sz="0" w:space="0" w:color="auto"/>
              <w:bottom w:val="none" w:sz="0" w:space="0" w:color="auto"/>
              <w:right w:val="none" w:sz="0" w:space="0" w:color="auto"/>
            </w:tcBorders>
            <w:vAlign w:val="center"/>
          </w:tcPr>
          <w:p w:rsidR="0069386C" w:rsidRPr="005B5BAF" w:rsidRDefault="0069386C" w:rsidP="00CA283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b/>
                <w:sz w:val="18"/>
                <w:szCs w:val="18"/>
              </w:rPr>
            </w:pPr>
          </w:p>
        </w:tc>
      </w:tr>
      <w:tr w:rsidR="0069386C" w:rsidRPr="005B5BAF" w:rsidTr="00CA283F">
        <w:trPr>
          <w:jc w:val="center"/>
        </w:trPr>
        <w:tc>
          <w:tcPr>
            <w:cnfStyle w:val="001000000000" w:firstRow="0" w:lastRow="0" w:firstColumn="1" w:lastColumn="0" w:oddVBand="0" w:evenVBand="0" w:oddHBand="0" w:evenHBand="0" w:firstRowFirstColumn="0" w:firstRowLastColumn="0" w:lastRowFirstColumn="0" w:lastRowLastColumn="0"/>
            <w:tcW w:w="1951" w:type="dxa"/>
            <w:vAlign w:val="center"/>
          </w:tcPr>
          <w:p w:rsidR="0069386C" w:rsidRPr="005B5BAF" w:rsidRDefault="0069386C" w:rsidP="00CA283F">
            <w:pPr>
              <w:pStyle w:val="ListParagraph"/>
              <w:ind w:left="0"/>
              <w:jc w:val="left"/>
              <w:rPr>
                <w:rFonts w:asciiTheme="minorHAnsi" w:hAnsiTheme="minorHAnsi"/>
                <w:sz w:val="18"/>
                <w:szCs w:val="18"/>
              </w:rPr>
            </w:pPr>
            <w:r w:rsidRPr="005B5BAF">
              <w:rPr>
                <w:rFonts w:asciiTheme="minorHAnsi" w:hAnsiTheme="minorHAnsi"/>
                <w:sz w:val="18"/>
                <w:szCs w:val="18"/>
              </w:rPr>
              <w:t>14. Sólidos comburentes</w:t>
            </w:r>
          </w:p>
        </w:tc>
        <w:tc>
          <w:tcPr>
            <w:tcW w:w="1418" w:type="dxa"/>
            <w:vAlign w:val="center"/>
          </w:tcPr>
          <w:p w:rsidR="0069386C" w:rsidRPr="005B5BAF" w:rsidRDefault="0069386C" w:rsidP="00CA283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1, 2 y 3</w:t>
            </w:r>
          </w:p>
        </w:tc>
        <w:tc>
          <w:tcPr>
            <w:tcW w:w="6770" w:type="dxa"/>
            <w:gridSpan w:val="4"/>
            <w:vMerge/>
            <w:vAlign w:val="center"/>
          </w:tcPr>
          <w:p w:rsidR="0069386C" w:rsidRPr="005B5BAF" w:rsidRDefault="0069386C" w:rsidP="00CA283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18"/>
                <w:szCs w:val="18"/>
              </w:rPr>
            </w:pPr>
          </w:p>
        </w:tc>
      </w:tr>
      <w:tr w:rsidR="0069386C" w:rsidRPr="005B5BAF" w:rsidTr="00CA28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51" w:type="dxa"/>
            <w:tcBorders>
              <w:top w:val="none" w:sz="0" w:space="0" w:color="auto"/>
              <w:left w:val="none" w:sz="0" w:space="0" w:color="auto"/>
              <w:bottom w:val="none" w:sz="0" w:space="0" w:color="auto"/>
            </w:tcBorders>
            <w:vAlign w:val="center"/>
          </w:tcPr>
          <w:p w:rsidR="0069386C" w:rsidRPr="005B5BAF" w:rsidRDefault="0069386C" w:rsidP="00CA283F">
            <w:pPr>
              <w:pStyle w:val="ListParagraph"/>
              <w:ind w:left="0"/>
              <w:jc w:val="left"/>
              <w:rPr>
                <w:rFonts w:asciiTheme="minorHAnsi" w:hAnsiTheme="minorHAnsi"/>
                <w:sz w:val="18"/>
                <w:szCs w:val="18"/>
              </w:rPr>
            </w:pPr>
            <w:r w:rsidRPr="005B5BAF">
              <w:rPr>
                <w:rFonts w:asciiTheme="minorHAnsi" w:hAnsiTheme="minorHAnsi"/>
                <w:sz w:val="18"/>
                <w:szCs w:val="18"/>
              </w:rPr>
              <w:t>15. Peróxidos orgánicos</w:t>
            </w:r>
          </w:p>
        </w:tc>
        <w:tc>
          <w:tcPr>
            <w:tcW w:w="1418" w:type="dxa"/>
            <w:tcBorders>
              <w:top w:val="none" w:sz="0" w:space="0" w:color="auto"/>
              <w:bottom w:val="none" w:sz="0" w:space="0" w:color="auto"/>
            </w:tcBorders>
            <w:vAlign w:val="center"/>
          </w:tcPr>
          <w:p w:rsidR="0069386C" w:rsidRPr="005B5BAF" w:rsidRDefault="0069386C" w:rsidP="00CA283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Tipo A,B,C,D,E,F y G</w:t>
            </w:r>
          </w:p>
        </w:tc>
        <w:tc>
          <w:tcPr>
            <w:tcW w:w="6770" w:type="dxa"/>
            <w:gridSpan w:val="4"/>
            <w:vMerge/>
            <w:tcBorders>
              <w:top w:val="none" w:sz="0" w:space="0" w:color="auto"/>
              <w:bottom w:val="none" w:sz="0" w:space="0" w:color="auto"/>
              <w:right w:val="none" w:sz="0" w:space="0" w:color="auto"/>
            </w:tcBorders>
            <w:vAlign w:val="center"/>
          </w:tcPr>
          <w:p w:rsidR="0069386C" w:rsidRPr="005B5BAF" w:rsidRDefault="0069386C" w:rsidP="00CA283F">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b/>
                <w:sz w:val="18"/>
                <w:szCs w:val="18"/>
              </w:rPr>
            </w:pPr>
          </w:p>
        </w:tc>
      </w:tr>
      <w:tr w:rsidR="0069386C" w:rsidRPr="005B5BAF" w:rsidTr="00CA283F">
        <w:trPr>
          <w:jc w:val="center"/>
        </w:trPr>
        <w:tc>
          <w:tcPr>
            <w:cnfStyle w:val="001000000000" w:firstRow="0" w:lastRow="0" w:firstColumn="1" w:lastColumn="0" w:oddVBand="0" w:evenVBand="0" w:oddHBand="0" w:evenHBand="0" w:firstRowFirstColumn="0" w:firstRowLastColumn="0" w:lastRowFirstColumn="0" w:lastRowLastColumn="0"/>
            <w:tcW w:w="1951" w:type="dxa"/>
            <w:vAlign w:val="center"/>
          </w:tcPr>
          <w:p w:rsidR="0069386C" w:rsidRPr="005B5BAF" w:rsidRDefault="0069386C" w:rsidP="00CA283F">
            <w:pPr>
              <w:pStyle w:val="ListParagraph"/>
              <w:ind w:left="0"/>
              <w:jc w:val="left"/>
              <w:rPr>
                <w:rFonts w:asciiTheme="minorHAnsi" w:hAnsiTheme="minorHAnsi"/>
                <w:sz w:val="18"/>
                <w:szCs w:val="18"/>
              </w:rPr>
            </w:pPr>
            <w:r w:rsidRPr="005B5BAF">
              <w:rPr>
                <w:rFonts w:asciiTheme="minorHAnsi" w:hAnsiTheme="minorHAnsi"/>
                <w:sz w:val="18"/>
                <w:szCs w:val="18"/>
              </w:rPr>
              <w:t>16. Sustancias y mezclas corrosivas para los metales</w:t>
            </w:r>
          </w:p>
        </w:tc>
        <w:tc>
          <w:tcPr>
            <w:tcW w:w="1418" w:type="dxa"/>
            <w:vAlign w:val="center"/>
          </w:tcPr>
          <w:p w:rsidR="0069386C" w:rsidRPr="005B5BAF" w:rsidRDefault="0069386C" w:rsidP="00CA283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5B5BAF">
              <w:rPr>
                <w:rFonts w:asciiTheme="minorHAnsi" w:hAnsiTheme="minorHAnsi"/>
                <w:sz w:val="18"/>
                <w:szCs w:val="18"/>
              </w:rPr>
              <w:t>1</w:t>
            </w:r>
          </w:p>
        </w:tc>
        <w:tc>
          <w:tcPr>
            <w:tcW w:w="6770" w:type="dxa"/>
            <w:gridSpan w:val="4"/>
            <w:vAlign w:val="center"/>
          </w:tcPr>
          <w:p w:rsidR="0069386C" w:rsidRPr="005B5BAF" w:rsidRDefault="0069386C" w:rsidP="00CA283F">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18"/>
                <w:szCs w:val="18"/>
              </w:rPr>
            </w:pPr>
          </w:p>
        </w:tc>
      </w:tr>
    </w:tbl>
    <w:p w:rsidR="0069386C" w:rsidRPr="005B5BAF" w:rsidRDefault="0069386C" w:rsidP="0069386C">
      <w:pPr>
        <w:pStyle w:val="ListParagraph"/>
        <w:ind w:left="0"/>
        <w:jc w:val="both"/>
        <w:rPr>
          <w:b/>
          <w:sz w:val="22"/>
          <w:szCs w:val="22"/>
        </w:rPr>
      </w:pPr>
    </w:p>
    <w:p w:rsidR="0069386C" w:rsidRDefault="0069386C" w:rsidP="0069386C">
      <w:pPr>
        <w:pStyle w:val="ListParagraph"/>
        <w:ind w:left="0"/>
        <w:contextualSpacing w:val="0"/>
        <w:jc w:val="both"/>
        <w:rPr>
          <w:sz w:val="22"/>
          <w:szCs w:val="22"/>
        </w:rPr>
      </w:pPr>
      <w:r w:rsidRPr="005B5BAF">
        <w:rPr>
          <w:sz w:val="22"/>
          <w:szCs w:val="22"/>
        </w:rPr>
        <w:t xml:space="preserve">Por otra parte, se aplicará el mismo concepto de gradualidad, diferenciando los </w:t>
      </w:r>
      <w:r w:rsidRPr="00D73939">
        <w:rPr>
          <w:sz w:val="22"/>
          <w:szCs w:val="22"/>
        </w:rPr>
        <w:t>tiempos de aplicación para sustancias puras (2 años) y las mezclas (5 años).</w:t>
      </w:r>
    </w:p>
    <w:p w:rsidR="0069386C" w:rsidRDefault="0069386C" w:rsidP="0069386C">
      <w:pPr>
        <w:pStyle w:val="ListParagraph"/>
        <w:numPr>
          <w:ilvl w:val="0"/>
          <w:numId w:val="63"/>
        </w:numPr>
        <w:contextualSpacing w:val="0"/>
        <w:jc w:val="both"/>
        <w:rPr>
          <w:sz w:val="22"/>
          <w:szCs w:val="22"/>
        </w:rPr>
      </w:pPr>
      <w:r w:rsidRPr="00D73939">
        <w:rPr>
          <w:b/>
          <w:sz w:val="22"/>
          <w:szCs w:val="22"/>
        </w:rPr>
        <w:t>Aplicación en sector industrial</w:t>
      </w:r>
      <w:r w:rsidR="00650667">
        <w:rPr>
          <w:b/>
          <w:sz w:val="22"/>
          <w:szCs w:val="22"/>
        </w:rPr>
        <w:t xml:space="preserve"> (sustancias químicas de uso industrial)</w:t>
      </w:r>
      <w:r w:rsidRPr="00D73939">
        <w:rPr>
          <w:b/>
          <w:sz w:val="22"/>
          <w:szCs w:val="22"/>
        </w:rPr>
        <w:t xml:space="preserve"> en primera etapa: </w:t>
      </w:r>
      <w:r w:rsidRPr="00D73939">
        <w:rPr>
          <w:sz w:val="22"/>
          <w:szCs w:val="22"/>
        </w:rPr>
        <w:t>Este sector es el que presenta más avances en cuanto a formación y capacidades técnicas y jurídicas para implementar el GHS. En cuant</w:t>
      </w:r>
      <w:r w:rsidR="00C53BC6">
        <w:rPr>
          <w:sz w:val="22"/>
          <w:szCs w:val="22"/>
        </w:rPr>
        <w:t>o a los sectores de Agricultura y</w:t>
      </w:r>
      <w:r w:rsidRPr="00D73939">
        <w:rPr>
          <w:sz w:val="22"/>
          <w:szCs w:val="22"/>
        </w:rPr>
        <w:t xml:space="preserve"> Transporte se debería hacer una evaluación interna sobre si se aplicará el GHS y la forma en que se podría hacer (qué criterios adoptar), puesto que a nivel internacional aún no está zanjado el tema. </w:t>
      </w:r>
      <w:r>
        <w:rPr>
          <w:sz w:val="22"/>
          <w:szCs w:val="22"/>
        </w:rPr>
        <w:t xml:space="preserve">Esta </w:t>
      </w:r>
      <w:r w:rsidR="007F5020">
        <w:rPr>
          <w:sz w:val="22"/>
          <w:szCs w:val="22"/>
        </w:rPr>
        <w:t xml:space="preserve">etapa de </w:t>
      </w:r>
      <w:r>
        <w:rPr>
          <w:sz w:val="22"/>
          <w:szCs w:val="22"/>
        </w:rPr>
        <w:t xml:space="preserve">definición </w:t>
      </w:r>
      <w:r w:rsidR="007F5020">
        <w:rPr>
          <w:sz w:val="22"/>
          <w:szCs w:val="22"/>
        </w:rPr>
        <w:t>en concordancia</w:t>
      </w:r>
      <w:r>
        <w:rPr>
          <w:sz w:val="22"/>
          <w:szCs w:val="22"/>
        </w:rPr>
        <w:t xml:space="preserve"> a las propias necesidades </w:t>
      </w:r>
      <w:r w:rsidR="007F5020">
        <w:rPr>
          <w:sz w:val="22"/>
          <w:szCs w:val="22"/>
        </w:rPr>
        <w:t xml:space="preserve">de cada sector </w:t>
      </w:r>
      <w:r>
        <w:rPr>
          <w:sz w:val="22"/>
          <w:szCs w:val="22"/>
        </w:rPr>
        <w:t>sobre dónde y cómo se aplicará el sistema</w:t>
      </w:r>
      <w:r w:rsidR="00C53BC6">
        <w:rPr>
          <w:sz w:val="22"/>
          <w:szCs w:val="22"/>
        </w:rPr>
        <w:t xml:space="preserve">, </w:t>
      </w:r>
      <w:r>
        <w:rPr>
          <w:sz w:val="22"/>
          <w:szCs w:val="22"/>
        </w:rPr>
        <w:t>ayudará a aumentar la concienciación sobre la implementación de él.</w:t>
      </w:r>
      <w:bookmarkStart w:id="110" w:name="OLE_LINK7"/>
      <w:bookmarkStart w:id="111" w:name="OLE_LINK8"/>
    </w:p>
    <w:p w:rsidR="0069386C" w:rsidRPr="00454C94" w:rsidRDefault="0069386C" w:rsidP="00E96B24">
      <w:pPr>
        <w:pStyle w:val="ListParagraph"/>
        <w:numPr>
          <w:ilvl w:val="0"/>
          <w:numId w:val="63"/>
        </w:numPr>
        <w:contextualSpacing w:val="0"/>
        <w:jc w:val="both"/>
        <w:rPr>
          <w:sz w:val="22"/>
          <w:szCs w:val="22"/>
        </w:rPr>
      </w:pPr>
      <w:r w:rsidRPr="00454C94">
        <w:rPr>
          <w:b/>
          <w:sz w:val="22"/>
          <w:szCs w:val="22"/>
        </w:rPr>
        <w:t>Analizar la capacidad analítica para clasif</w:t>
      </w:r>
      <w:r w:rsidR="00183872" w:rsidRPr="00454C94">
        <w:rPr>
          <w:b/>
          <w:sz w:val="22"/>
          <w:szCs w:val="22"/>
        </w:rPr>
        <w:t xml:space="preserve">icación de sustancias químicas: </w:t>
      </w:r>
      <w:r w:rsidR="00183872" w:rsidRPr="00454C94">
        <w:rPr>
          <w:sz w:val="22"/>
          <w:szCs w:val="22"/>
        </w:rPr>
        <w:t>Dado que se tomará como referencia el listado de sustancias químicas del CLP</w:t>
      </w:r>
      <w:r w:rsidR="00CE1FDF" w:rsidRPr="00454C94">
        <w:rPr>
          <w:sz w:val="22"/>
          <w:szCs w:val="22"/>
        </w:rPr>
        <w:t xml:space="preserve">, no se necesitará crear infraestructura propia de clasificación de sustancias y mezclas en el país. Sin embargo, se debe tener cuidado con ciertas salvedades, por ejemplo, </w:t>
      </w:r>
      <w:r w:rsidR="00454C94" w:rsidRPr="00454C94">
        <w:rPr>
          <w:sz w:val="22"/>
          <w:szCs w:val="22"/>
        </w:rPr>
        <w:t>en el tema de definiciones que puede contemplar el modelo europeo. También</w:t>
      </w:r>
      <w:r w:rsidR="00CE1FDF" w:rsidRPr="00454C94">
        <w:rPr>
          <w:sz w:val="22"/>
          <w:szCs w:val="22"/>
        </w:rPr>
        <w:t xml:space="preserve"> e</w:t>
      </w:r>
      <w:r w:rsidRPr="00454C94">
        <w:rPr>
          <w:sz w:val="22"/>
          <w:szCs w:val="22"/>
        </w:rPr>
        <w:t xml:space="preserve">s importante establecer en la estrategia la forma en que se clasificará las sustancias que no estén consideradas en el listado de referencia del CLP o en la base de datos REACH de la UE, especialmente en mezclas químicas (normativa, capacidad técnica, reconocimiento datos externos, etc.). En estos casos, se </w:t>
      </w:r>
      <w:r w:rsidR="002B3085">
        <w:rPr>
          <w:sz w:val="22"/>
          <w:szCs w:val="22"/>
        </w:rPr>
        <w:t>podría</w:t>
      </w:r>
      <w:r w:rsidRPr="00454C94">
        <w:rPr>
          <w:sz w:val="22"/>
          <w:szCs w:val="22"/>
        </w:rPr>
        <w:t xml:space="preserve"> aplicar lo indicado en el Reglamento (UE) N° 453/2010 relativo al registro, la evaluación, la autorización y la restricción de las sustancias y preparados químicos (REACH), ANEXO II Requisitos para la elaboración de las fichas de datos de seguridad, que señala:</w:t>
      </w:r>
    </w:p>
    <w:p w:rsidR="0069386C" w:rsidRPr="00D73939" w:rsidRDefault="0069386C" w:rsidP="0069386C">
      <w:pPr>
        <w:pStyle w:val="ListParagraph"/>
        <w:numPr>
          <w:ilvl w:val="0"/>
          <w:numId w:val="64"/>
        </w:numPr>
        <w:jc w:val="both"/>
        <w:rPr>
          <w:i/>
          <w:sz w:val="22"/>
          <w:szCs w:val="22"/>
        </w:rPr>
      </w:pPr>
      <w:r w:rsidRPr="00D73939">
        <w:rPr>
          <w:i/>
          <w:sz w:val="22"/>
          <w:szCs w:val="22"/>
        </w:rPr>
        <w:t xml:space="preserve">Artículo 11.1.3: Deberá ofrecerse información sobre cada clase de peligro, diferenciación o efecto. Cuando se señale que la sustancia o la mezcla no se han clasificado con respecto a una clase de peligro, diferenciación o efecto particulares, deberá indicarse claramente en la ficha de datos de seguridad si esto se debe a la falta de datos, a una imposibilidad técnica de obtenerlos, a datos no concluyentes o a datos que son concluyentes pero insuficientes para la clasificación; en este último caso, la ficha de datos de seguridad deberá incluir la aclaración siguiente: “a la vista de los datos disponibles, no se cumplen los criterios de clasificación”. </w:t>
      </w:r>
    </w:p>
    <w:p w:rsidR="0069386C" w:rsidRPr="00D73939" w:rsidRDefault="0069386C" w:rsidP="0069386C">
      <w:pPr>
        <w:pStyle w:val="ListParagraph"/>
        <w:ind w:left="0"/>
        <w:jc w:val="both"/>
        <w:rPr>
          <w:i/>
          <w:sz w:val="22"/>
          <w:szCs w:val="22"/>
        </w:rPr>
      </w:pPr>
    </w:p>
    <w:p w:rsidR="0069386C" w:rsidRPr="00D73939" w:rsidRDefault="0069386C" w:rsidP="0069386C">
      <w:pPr>
        <w:pStyle w:val="ListParagraph"/>
        <w:numPr>
          <w:ilvl w:val="0"/>
          <w:numId w:val="64"/>
        </w:numPr>
        <w:jc w:val="both"/>
        <w:rPr>
          <w:i/>
          <w:sz w:val="22"/>
          <w:szCs w:val="22"/>
        </w:rPr>
      </w:pPr>
      <w:r w:rsidRPr="00D73939">
        <w:rPr>
          <w:i/>
          <w:sz w:val="22"/>
          <w:szCs w:val="22"/>
        </w:rPr>
        <w:t>Artículo 11.1.6. Cuando no se cumplan los criterios de clasificación para una clase determinada de peligro, deberá facilitarse información que apoye esta conclusión.</w:t>
      </w:r>
    </w:p>
    <w:p w:rsidR="0069386C" w:rsidRPr="00D73939" w:rsidRDefault="0069386C" w:rsidP="0069386C">
      <w:pPr>
        <w:pStyle w:val="ListParagraph"/>
        <w:ind w:left="0"/>
        <w:jc w:val="both"/>
        <w:rPr>
          <w:i/>
          <w:sz w:val="22"/>
          <w:szCs w:val="22"/>
        </w:rPr>
      </w:pPr>
    </w:p>
    <w:p w:rsidR="0069386C" w:rsidRDefault="0069386C" w:rsidP="0069386C">
      <w:pPr>
        <w:pStyle w:val="ListParagraph"/>
        <w:numPr>
          <w:ilvl w:val="0"/>
          <w:numId w:val="64"/>
        </w:numPr>
        <w:contextualSpacing w:val="0"/>
        <w:jc w:val="both"/>
        <w:rPr>
          <w:i/>
          <w:sz w:val="22"/>
          <w:szCs w:val="22"/>
        </w:rPr>
      </w:pPr>
      <w:r w:rsidRPr="00D73939">
        <w:rPr>
          <w:i/>
          <w:sz w:val="22"/>
          <w:szCs w:val="22"/>
        </w:rPr>
        <w:t>Artículo 11.1.11. Ausencia de datos específicos: No siempre es posible obtener información sobre los peligros derivados de una sustancia o mezcla. Cuando no se disponga de datos sobre una sustancia o una mezcla específicas, podrán utilizarse, en su caso, datos sobre sustancias o mezclas similares, siempre y cuando se haya identificado la sustancia o mezcla similar. Cuando no se utilicen datos específicos, o cuando estos no estén disponibles, habrá que mencionarlo claramente.</w:t>
      </w:r>
      <w:bookmarkEnd w:id="110"/>
      <w:bookmarkEnd w:id="111"/>
    </w:p>
    <w:p w:rsidR="0069386C" w:rsidRDefault="0069386C" w:rsidP="0069386C">
      <w:pPr>
        <w:pStyle w:val="ListParagraph"/>
        <w:numPr>
          <w:ilvl w:val="0"/>
          <w:numId w:val="65"/>
        </w:numPr>
        <w:ind w:left="714" w:hanging="357"/>
        <w:contextualSpacing w:val="0"/>
        <w:jc w:val="both"/>
        <w:rPr>
          <w:i/>
          <w:sz w:val="22"/>
          <w:szCs w:val="22"/>
        </w:rPr>
      </w:pPr>
      <w:r w:rsidRPr="00270FA8">
        <w:rPr>
          <w:b/>
          <w:sz w:val="22"/>
          <w:szCs w:val="22"/>
        </w:rPr>
        <w:t xml:space="preserve">No considerar el tema de Registros de sustancias químicas: </w:t>
      </w:r>
      <w:r w:rsidRPr="00270FA8">
        <w:rPr>
          <w:sz w:val="22"/>
          <w:szCs w:val="22"/>
        </w:rPr>
        <w:t xml:space="preserve">Para efectos de aplicación del GHS, no sería relevante contar con registros para la evaluación de nuevos productos químicos en el corto plazo, no obstante, es necesario evaluar la posibilidad de someterlos </w:t>
      </w:r>
      <w:r w:rsidR="002B3085">
        <w:rPr>
          <w:sz w:val="22"/>
          <w:szCs w:val="22"/>
        </w:rPr>
        <w:t>a este instrumento en el futuro</w:t>
      </w:r>
      <w:r w:rsidRPr="00270FA8">
        <w:rPr>
          <w:sz w:val="22"/>
          <w:szCs w:val="22"/>
        </w:rPr>
        <w:t>. Ahora bien, en el marco de la implementación del GHS, sí debería considerarse la elaboración de bases de datos de sustancias químicas producidas en el país para contar con información sobre cuáles son las sustancias manejadas en el país, su clasificación de peligrosidad y en qué cantidades, información relacionada con las clases y categorías de peligros del GHS que serían aplicables en cada sector.</w:t>
      </w:r>
    </w:p>
    <w:p w:rsidR="0069386C" w:rsidRPr="00270FA8" w:rsidRDefault="0069386C" w:rsidP="0069386C">
      <w:pPr>
        <w:pStyle w:val="ListParagraph"/>
        <w:numPr>
          <w:ilvl w:val="0"/>
          <w:numId w:val="65"/>
        </w:numPr>
        <w:ind w:left="714" w:hanging="357"/>
        <w:contextualSpacing w:val="0"/>
        <w:jc w:val="both"/>
        <w:rPr>
          <w:i/>
          <w:sz w:val="22"/>
          <w:szCs w:val="22"/>
        </w:rPr>
      </w:pPr>
      <w:r w:rsidRPr="00270FA8">
        <w:rPr>
          <w:b/>
          <w:sz w:val="22"/>
          <w:szCs w:val="22"/>
        </w:rPr>
        <w:t xml:space="preserve">No aplicar a sector Productos de Consumo: </w:t>
      </w:r>
      <w:r w:rsidRPr="00270FA8">
        <w:rPr>
          <w:sz w:val="22"/>
          <w:szCs w:val="22"/>
        </w:rPr>
        <w:t>No se</w:t>
      </w:r>
      <w:r w:rsidR="002B3085">
        <w:rPr>
          <w:sz w:val="22"/>
          <w:szCs w:val="22"/>
        </w:rPr>
        <w:t xml:space="preserve"> aplicará por ahora, de forma obligatoria, </w:t>
      </w:r>
      <w:r w:rsidRPr="00270FA8">
        <w:rPr>
          <w:sz w:val="22"/>
          <w:szCs w:val="22"/>
        </w:rPr>
        <w:t>a productos de consumo doméstico dado que existe un vacío legal con respecto a la evaluación de peligrosidad de estos productos. Se debe analizar en el futuro la aplicación del sistema, considerando que primeramente debería formularse la normativa legal que regule la clasificación y la obligación de evaluar la peligrosidad de estos productos por parte de los fabricantes</w:t>
      </w:r>
      <w:r>
        <w:rPr>
          <w:sz w:val="22"/>
          <w:szCs w:val="22"/>
        </w:rPr>
        <w:t xml:space="preserve"> y luego, en forma similar a lo que se harán en los sectores Agricultura y Transporte, evaluar la forma de implementación en base a lo establecido en esta nueva regulación que se espera tener en el mediano plazo.</w:t>
      </w:r>
      <w:r w:rsidR="002B3085">
        <w:rPr>
          <w:sz w:val="22"/>
          <w:szCs w:val="22"/>
        </w:rPr>
        <w:t xml:space="preserve"> Sin perjuicio de lo anterior, se cree que los productos importados desde países que ya estén aplicando el GHS, hará más fácil la aplicación en este sector.</w:t>
      </w:r>
    </w:p>
    <w:p w:rsidR="00784A5F" w:rsidRPr="00E30F6D" w:rsidRDefault="007E56BE" w:rsidP="00606EAC">
      <w:pPr>
        <w:jc w:val="both"/>
        <w:rPr>
          <w:sz w:val="22"/>
          <w:szCs w:val="22"/>
          <w:lang w:val="es-CL"/>
        </w:rPr>
      </w:pPr>
      <w:r>
        <w:rPr>
          <w:sz w:val="22"/>
          <w:szCs w:val="22"/>
        </w:rPr>
        <w:t>A partir de esta información</w:t>
      </w:r>
      <w:r w:rsidR="0069386C">
        <w:rPr>
          <w:sz w:val="22"/>
          <w:szCs w:val="22"/>
          <w:lang w:val="es-CL"/>
        </w:rPr>
        <w:t>, se delinearon cuá</w:t>
      </w:r>
      <w:r w:rsidR="00784A5F" w:rsidRPr="00B153EF">
        <w:rPr>
          <w:sz w:val="22"/>
          <w:szCs w:val="22"/>
          <w:lang w:val="es-CL"/>
        </w:rPr>
        <w:t>les son las estrategias específicas a considerar para solvent</w:t>
      </w:r>
      <w:r w:rsidR="008B23D5" w:rsidRPr="00B153EF">
        <w:rPr>
          <w:sz w:val="22"/>
          <w:szCs w:val="22"/>
          <w:lang w:val="es-CL"/>
        </w:rPr>
        <w:t>ar las deficiencias encontradas, teniendo como objetivo general de la estrategia</w:t>
      </w:r>
      <w:r w:rsidR="00082314" w:rsidRPr="00B153EF">
        <w:rPr>
          <w:sz w:val="22"/>
          <w:szCs w:val="22"/>
          <w:lang w:val="es-CL"/>
        </w:rPr>
        <w:t>,</w:t>
      </w:r>
      <w:r w:rsidR="008B23D5" w:rsidRPr="00B153EF">
        <w:rPr>
          <w:sz w:val="22"/>
          <w:szCs w:val="22"/>
          <w:lang w:val="es-CL"/>
        </w:rPr>
        <w:t xml:space="preserve"> el </w:t>
      </w:r>
      <w:r w:rsidR="002F7E9A" w:rsidRPr="00B153EF">
        <w:rPr>
          <w:sz w:val="22"/>
          <w:szCs w:val="22"/>
          <w:lang w:val="es-CL"/>
        </w:rPr>
        <w:t>proporcionar el marco para la implementación del GHS en Chile de modo de contar con un sistema de clasificación y comunicación de peligros químicos de acuerdo a estándares internacionales</w:t>
      </w:r>
      <w:r w:rsidR="00082314" w:rsidRPr="00B153EF">
        <w:rPr>
          <w:sz w:val="22"/>
          <w:szCs w:val="22"/>
          <w:lang w:val="es-CL"/>
        </w:rPr>
        <w:t xml:space="preserve"> </w:t>
      </w:r>
      <w:r w:rsidR="002F7E9A" w:rsidRPr="00B153EF">
        <w:rPr>
          <w:sz w:val="22"/>
          <w:szCs w:val="22"/>
          <w:lang w:val="es-CL"/>
        </w:rPr>
        <w:t>fomentando el desarrollo sostenible del país</w:t>
      </w:r>
      <w:r w:rsidR="00E83307">
        <w:rPr>
          <w:sz w:val="22"/>
          <w:szCs w:val="22"/>
          <w:lang w:val="es-CL"/>
        </w:rPr>
        <w:t>, estableciendo</w:t>
      </w:r>
      <w:r w:rsidR="008B23D5" w:rsidRPr="00B153EF">
        <w:rPr>
          <w:sz w:val="22"/>
          <w:szCs w:val="22"/>
          <w:lang w:val="es-CL"/>
        </w:rPr>
        <w:t xml:space="preserve"> </w:t>
      </w:r>
      <w:r w:rsidR="00C53BC6">
        <w:rPr>
          <w:sz w:val="22"/>
          <w:szCs w:val="22"/>
          <w:lang w:val="es-CL"/>
        </w:rPr>
        <w:t xml:space="preserve">los siguientes </w:t>
      </w:r>
      <w:r w:rsidR="008B23D5" w:rsidRPr="00B153EF">
        <w:rPr>
          <w:sz w:val="22"/>
          <w:szCs w:val="22"/>
          <w:lang w:val="es-CL"/>
        </w:rPr>
        <w:t xml:space="preserve">objetivos </w:t>
      </w:r>
      <w:r w:rsidR="00C53BC6">
        <w:rPr>
          <w:sz w:val="22"/>
          <w:szCs w:val="22"/>
          <w:lang w:val="es-CL"/>
        </w:rPr>
        <w:t>específicos:</w:t>
      </w:r>
    </w:p>
    <w:p w:rsidR="00FD0336" w:rsidRPr="00E30F6D" w:rsidRDefault="00226A11" w:rsidP="00D4302C">
      <w:pPr>
        <w:pStyle w:val="ListParagraph"/>
        <w:numPr>
          <w:ilvl w:val="0"/>
          <w:numId w:val="66"/>
        </w:numPr>
        <w:contextualSpacing w:val="0"/>
        <w:jc w:val="both"/>
        <w:rPr>
          <w:sz w:val="22"/>
          <w:szCs w:val="22"/>
          <w:lang w:val="es-CL"/>
        </w:rPr>
      </w:pPr>
      <w:r w:rsidRPr="00E30F6D">
        <w:rPr>
          <w:sz w:val="22"/>
          <w:szCs w:val="22"/>
          <w:lang w:val="es-CL"/>
        </w:rPr>
        <w:t xml:space="preserve">Revisión </w:t>
      </w:r>
      <w:r w:rsidR="00E83307">
        <w:rPr>
          <w:sz w:val="22"/>
          <w:szCs w:val="22"/>
        </w:rPr>
        <w:t xml:space="preserve">y mejoramiento </w:t>
      </w:r>
      <w:r w:rsidRPr="00E30F6D">
        <w:rPr>
          <w:sz w:val="22"/>
          <w:szCs w:val="22"/>
          <w:lang w:val="es-CL"/>
        </w:rPr>
        <w:t>de</w:t>
      </w:r>
      <w:r w:rsidR="00FD0336" w:rsidRPr="00E30F6D">
        <w:rPr>
          <w:sz w:val="22"/>
          <w:szCs w:val="22"/>
          <w:lang w:val="es-CL"/>
        </w:rPr>
        <w:t xml:space="preserve"> la estructura organizacional del Com</w:t>
      </w:r>
      <w:r w:rsidR="00307A77" w:rsidRPr="00E30F6D">
        <w:rPr>
          <w:sz w:val="22"/>
          <w:szCs w:val="22"/>
          <w:lang w:val="es-CL"/>
        </w:rPr>
        <w:t>ité Coordinador.</w:t>
      </w:r>
    </w:p>
    <w:p w:rsidR="00FD0336" w:rsidRPr="00E30F6D" w:rsidRDefault="006A57AB" w:rsidP="00D4302C">
      <w:pPr>
        <w:pStyle w:val="ListParagraph"/>
        <w:numPr>
          <w:ilvl w:val="0"/>
          <w:numId w:val="66"/>
        </w:numPr>
        <w:contextualSpacing w:val="0"/>
        <w:jc w:val="both"/>
        <w:rPr>
          <w:sz w:val="22"/>
          <w:szCs w:val="22"/>
          <w:lang w:val="es-CL"/>
        </w:rPr>
      </w:pPr>
      <w:bookmarkStart w:id="112" w:name="OLE_LINK5"/>
      <w:bookmarkStart w:id="113" w:name="OLE_LINK6"/>
      <w:r w:rsidRPr="00E30F6D">
        <w:rPr>
          <w:sz w:val="22"/>
          <w:szCs w:val="22"/>
          <w:lang w:val="es-CL"/>
        </w:rPr>
        <w:t>Levantamiento de información</w:t>
      </w:r>
      <w:r w:rsidR="00E83307">
        <w:rPr>
          <w:sz w:val="22"/>
          <w:szCs w:val="22"/>
        </w:rPr>
        <w:t xml:space="preserve"> sobre sustancias químicas,</w:t>
      </w:r>
      <w:r w:rsidRPr="00E30F6D">
        <w:rPr>
          <w:sz w:val="22"/>
          <w:szCs w:val="22"/>
          <w:lang w:val="es-CL"/>
        </w:rPr>
        <w:t xml:space="preserve"> </w:t>
      </w:r>
      <w:bookmarkEnd w:id="112"/>
      <w:bookmarkEnd w:id="113"/>
      <w:r w:rsidR="00F86A95" w:rsidRPr="00E30F6D">
        <w:rPr>
          <w:sz w:val="22"/>
          <w:szCs w:val="22"/>
          <w:lang w:val="es-CL"/>
        </w:rPr>
        <w:t>necesaria para la aplicación del GHS</w:t>
      </w:r>
    </w:p>
    <w:p w:rsidR="00A47EF3" w:rsidRPr="00E30F6D" w:rsidRDefault="00A47EF3" w:rsidP="00D4302C">
      <w:pPr>
        <w:pStyle w:val="ListParagraph"/>
        <w:numPr>
          <w:ilvl w:val="0"/>
          <w:numId w:val="66"/>
        </w:numPr>
        <w:contextualSpacing w:val="0"/>
        <w:jc w:val="both"/>
        <w:rPr>
          <w:sz w:val="22"/>
          <w:szCs w:val="22"/>
          <w:lang w:val="es-CL"/>
        </w:rPr>
      </w:pPr>
      <w:r w:rsidRPr="00E30F6D">
        <w:rPr>
          <w:sz w:val="22"/>
          <w:szCs w:val="22"/>
          <w:lang w:val="es-CL"/>
        </w:rPr>
        <w:t xml:space="preserve">Desarrollar actividades de </w:t>
      </w:r>
      <w:r w:rsidR="00E83307">
        <w:rPr>
          <w:sz w:val="22"/>
          <w:szCs w:val="22"/>
        </w:rPr>
        <w:t xml:space="preserve">difusión, </w:t>
      </w:r>
      <w:r w:rsidRPr="00E30F6D">
        <w:rPr>
          <w:sz w:val="22"/>
          <w:szCs w:val="22"/>
          <w:lang w:val="es-CL"/>
        </w:rPr>
        <w:t xml:space="preserve">sensibilización/concienciación </w:t>
      </w:r>
      <w:r w:rsidR="00E83307">
        <w:rPr>
          <w:sz w:val="22"/>
          <w:szCs w:val="22"/>
        </w:rPr>
        <w:t xml:space="preserve">y capacitación </w:t>
      </w:r>
      <w:r w:rsidR="008910B9" w:rsidRPr="00E30F6D">
        <w:rPr>
          <w:sz w:val="22"/>
          <w:szCs w:val="22"/>
          <w:lang w:val="es-CL"/>
        </w:rPr>
        <w:t>sobre el</w:t>
      </w:r>
      <w:r w:rsidRPr="00E30F6D">
        <w:rPr>
          <w:sz w:val="22"/>
          <w:szCs w:val="22"/>
          <w:lang w:val="es-CL"/>
        </w:rPr>
        <w:t xml:space="preserve"> sistema GHS </w:t>
      </w:r>
      <w:r w:rsidR="00E83307">
        <w:rPr>
          <w:sz w:val="22"/>
          <w:szCs w:val="22"/>
        </w:rPr>
        <w:t>a</w:t>
      </w:r>
      <w:r w:rsidR="00DC4817">
        <w:rPr>
          <w:sz w:val="22"/>
          <w:szCs w:val="22"/>
        </w:rPr>
        <w:t>l</w:t>
      </w:r>
      <w:r w:rsidR="00E83307">
        <w:rPr>
          <w:sz w:val="22"/>
          <w:szCs w:val="22"/>
        </w:rPr>
        <w:t xml:space="preserve"> sector público, privado, sociedad civil y trabajadores.</w:t>
      </w:r>
    </w:p>
    <w:p w:rsidR="000A2222" w:rsidRPr="00E30F6D" w:rsidRDefault="00530709" w:rsidP="00D4302C">
      <w:pPr>
        <w:pStyle w:val="ListParagraph"/>
        <w:numPr>
          <w:ilvl w:val="0"/>
          <w:numId w:val="66"/>
        </w:numPr>
        <w:contextualSpacing w:val="0"/>
        <w:jc w:val="both"/>
        <w:rPr>
          <w:sz w:val="22"/>
          <w:szCs w:val="22"/>
          <w:lang w:val="es-CL"/>
        </w:rPr>
      </w:pPr>
      <w:r w:rsidRPr="00E30F6D">
        <w:rPr>
          <w:sz w:val="22"/>
          <w:szCs w:val="22"/>
          <w:lang w:val="es-CL"/>
        </w:rPr>
        <w:t xml:space="preserve">Desarrollar </w:t>
      </w:r>
      <w:r w:rsidR="00AC5D2E" w:rsidRPr="00E30F6D">
        <w:rPr>
          <w:sz w:val="22"/>
          <w:szCs w:val="22"/>
          <w:lang w:val="es-CL"/>
        </w:rPr>
        <w:t xml:space="preserve">y mejorar </w:t>
      </w:r>
      <w:r w:rsidRPr="00E30F6D">
        <w:rPr>
          <w:sz w:val="22"/>
          <w:szCs w:val="22"/>
          <w:lang w:val="es-CL"/>
        </w:rPr>
        <w:t>capacidades</w:t>
      </w:r>
      <w:r w:rsidR="00143F6C" w:rsidRPr="00E30F6D">
        <w:rPr>
          <w:sz w:val="22"/>
          <w:szCs w:val="22"/>
          <w:lang w:val="es-CL"/>
        </w:rPr>
        <w:t xml:space="preserve"> </w:t>
      </w:r>
      <w:r w:rsidRPr="00E30F6D">
        <w:rPr>
          <w:sz w:val="22"/>
          <w:szCs w:val="22"/>
          <w:lang w:val="es-CL"/>
        </w:rPr>
        <w:t>en la clasificación de productos químicos, generación de HDS y etiquetas según GHS</w:t>
      </w:r>
    </w:p>
    <w:p w:rsidR="00A47EF3" w:rsidRDefault="00A47EF3" w:rsidP="00D4302C">
      <w:pPr>
        <w:pStyle w:val="ListParagraph"/>
        <w:numPr>
          <w:ilvl w:val="0"/>
          <w:numId w:val="66"/>
        </w:numPr>
        <w:contextualSpacing w:val="0"/>
        <w:jc w:val="both"/>
        <w:rPr>
          <w:sz w:val="22"/>
          <w:szCs w:val="22"/>
          <w:lang w:val="es-CL"/>
        </w:rPr>
      </w:pPr>
      <w:r w:rsidRPr="00E30F6D">
        <w:rPr>
          <w:sz w:val="22"/>
          <w:szCs w:val="22"/>
          <w:lang w:val="es-CL"/>
        </w:rPr>
        <w:t>Desarrollar mecanismos de financiación para la capacitación del personal y actividades relacionadas con la implementación (internos y/o externos).</w:t>
      </w:r>
    </w:p>
    <w:p w:rsidR="00E83307" w:rsidRPr="00E83307" w:rsidRDefault="00E83307" w:rsidP="00D4302C">
      <w:pPr>
        <w:pStyle w:val="ListParagraph"/>
        <w:numPr>
          <w:ilvl w:val="0"/>
          <w:numId w:val="66"/>
        </w:numPr>
        <w:contextualSpacing w:val="0"/>
        <w:jc w:val="both"/>
        <w:rPr>
          <w:sz w:val="22"/>
          <w:szCs w:val="22"/>
          <w:lang w:val="es-CL"/>
        </w:rPr>
      </w:pPr>
      <w:r>
        <w:rPr>
          <w:sz w:val="22"/>
          <w:szCs w:val="22"/>
        </w:rPr>
        <w:t>Elabora marco normativo para la implementación del GHS.</w:t>
      </w:r>
    </w:p>
    <w:p w:rsidR="00E83307" w:rsidRPr="00E30F6D" w:rsidRDefault="00E83307" w:rsidP="00D4302C">
      <w:pPr>
        <w:pStyle w:val="ListParagraph"/>
        <w:numPr>
          <w:ilvl w:val="0"/>
          <w:numId w:val="66"/>
        </w:numPr>
        <w:contextualSpacing w:val="0"/>
        <w:jc w:val="both"/>
        <w:rPr>
          <w:sz w:val="22"/>
          <w:szCs w:val="22"/>
          <w:lang w:val="es-CL"/>
        </w:rPr>
      </w:pPr>
      <w:r>
        <w:rPr>
          <w:sz w:val="22"/>
          <w:szCs w:val="22"/>
        </w:rPr>
        <w:t>Efectuar evaluación sobre la implementación del GHS en los demás sectores.</w:t>
      </w:r>
    </w:p>
    <w:p w:rsidR="008B23D5" w:rsidRPr="00E83307" w:rsidRDefault="00C53BC6" w:rsidP="00606EAC">
      <w:pPr>
        <w:jc w:val="both"/>
        <w:rPr>
          <w:sz w:val="22"/>
          <w:szCs w:val="22"/>
          <w:lang w:val="es-CL"/>
        </w:rPr>
      </w:pPr>
      <w:r>
        <w:rPr>
          <w:sz w:val="22"/>
          <w:szCs w:val="22"/>
        </w:rPr>
        <w:t>A c</w:t>
      </w:r>
      <w:r w:rsidR="002D36B4" w:rsidRPr="00E83307">
        <w:rPr>
          <w:sz w:val="22"/>
          <w:szCs w:val="22"/>
          <w:lang w:val="es-CL"/>
        </w:rPr>
        <w:t xml:space="preserve">ada una de estas estrategias u objetivos </w:t>
      </w:r>
      <w:r>
        <w:rPr>
          <w:sz w:val="22"/>
          <w:szCs w:val="22"/>
        </w:rPr>
        <w:t>se le asociaron</w:t>
      </w:r>
      <w:r w:rsidR="002D36B4" w:rsidRPr="00E83307">
        <w:rPr>
          <w:sz w:val="22"/>
          <w:szCs w:val="22"/>
          <w:lang w:val="es-CL"/>
        </w:rPr>
        <w:t xml:space="preserve"> tareas</w:t>
      </w:r>
      <w:r w:rsidR="007B7BA9" w:rsidRPr="00E83307">
        <w:rPr>
          <w:sz w:val="22"/>
          <w:szCs w:val="22"/>
          <w:lang w:val="es-CL"/>
        </w:rPr>
        <w:t>/actividades</w:t>
      </w:r>
      <w:r w:rsidR="002D36B4" w:rsidRPr="00E83307">
        <w:rPr>
          <w:sz w:val="22"/>
          <w:szCs w:val="22"/>
          <w:lang w:val="es-CL"/>
        </w:rPr>
        <w:t xml:space="preserve"> necesarias para lograr el cumplimiento del objetivo, además de definir los resultados esperados así como los organismos responsables para la ejecución del plan de acción.</w:t>
      </w:r>
      <w:r w:rsidR="007B7BA9" w:rsidRPr="00E83307">
        <w:rPr>
          <w:sz w:val="22"/>
          <w:szCs w:val="22"/>
          <w:lang w:val="es-CL"/>
        </w:rPr>
        <w:t xml:space="preserve"> Esta información se describe en los párrafos siguientes.</w:t>
      </w:r>
    </w:p>
    <w:p w:rsidR="00E30F6D" w:rsidRDefault="00E30F6D" w:rsidP="00606EAC">
      <w:pPr>
        <w:jc w:val="both"/>
        <w:rPr>
          <w:sz w:val="22"/>
          <w:szCs w:val="22"/>
          <w:lang w:val="es-CL"/>
        </w:rPr>
      </w:pPr>
      <w:r>
        <w:rPr>
          <w:sz w:val="22"/>
          <w:szCs w:val="22"/>
          <w:lang w:val="es-CL"/>
        </w:rPr>
        <w:t>A petición de la contraparte</w:t>
      </w:r>
      <w:r w:rsidR="00EB7B44">
        <w:rPr>
          <w:sz w:val="22"/>
          <w:szCs w:val="22"/>
        </w:rPr>
        <w:t>, en la mayoría de los casos</w:t>
      </w:r>
      <w:r>
        <w:rPr>
          <w:sz w:val="22"/>
          <w:szCs w:val="22"/>
          <w:lang w:val="es-CL"/>
        </w:rPr>
        <w:t xml:space="preserve"> no se indicó si las tareas se realizarían en </w:t>
      </w:r>
      <w:r w:rsidRPr="006F0096">
        <w:rPr>
          <w:sz w:val="22"/>
          <w:szCs w:val="22"/>
          <w:lang w:val="es-CL"/>
        </w:rPr>
        <w:t>el corto, mediano y largo plazo</w:t>
      </w:r>
      <w:r>
        <w:rPr>
          <w:sz w:val="22"/>
          <w:szCs w:val="22"/>
          <w:lang w:val="es-CL"/>
        </w:rPr>
        <w:t>.</w:t>
      </w:r>
    </w:p>
    <w:p w:rsidR="00A478D8" w:rsidRPr="00E30F6D" w:rsidRDefault="00A47EF3" w:rsidP="00270FA8">
      <w:pPr>
        <w:pStyle w:val="Heading2"/>
        <w:spacing w:before="0" w:after="180"/>
        <w:ind w:left="0" w:firstLine="0"/>
        <w:rPr>
          <w:lang w:val="es-CL"/>
        </w:rPr>
      </w:pPr>
      <w:bookmarkStart w:id="114" w:name="_Toc418168905"/>
      <w:r w:rsidRPr="00E30F6D">
        <w:rPr>
          <w:lang w:val="es-CL"/>
        </w:rPr>
        <w:t>Estructura Organizacional del Comité</w:t>
      </w:r>
      <w:r w:rsidR="00420C11" w:rsidRPr="00E30F6D">
        <w:rPr>
          <w:lang w:val="es-CL"/>
        </w:rPr>
        <w:t xml:space="preserve"> Coordinador</w:t>
      </w:r>
      <w:bookmarkEnd w:id="114"/>
    </w:p>
    <w:p w:rsidR="007E15C6" w:rsidRPr="00E30F6D" w:rsidRDefault="007E15C6" w:rsidP="00606EAC">
      <w:pPr>
        <w:jc w:val="both"/>
        <w:rPr>
          <w:sz w:val="22"/>
          <w:szCs w:val="22"/>
          <w:lang w:val="es-CL"/>
        </w:rPr>
      </w:pPr>
      <w:r w:rsidRPr="00E30F6D">
        <w:rPr>
          <w:sz w:val="22"/>
          <w:szCs w:val="22"/>
          <w:lang w:val="es-CL"/>
        </w:rPr>
        <w:t>En este punto se propone</w:t>
      </w:r>
      <w:r w:rsidR="003A5F87" w:rsidRPr="00E30F6D">
        <w:rPr>
          <w:sz w:val="22"/>
          <w:szCs w:val="22"/>
          <w:lang w:val="es-CL"/>
        </w:rPr>
        <w:t>, en primer lugar,</w:t>
      </w:r>
      <w:r w:rsidRPr="00E30F6D">
        <w:rPr>
          <w:sz w:val="22"/>
          <w:szCs w:val="22"/>
          <w:lang w:val="es-CL"/>
        </w:rPr>
        <w:t xml:space="preserve"> realizar una revisión de la estructura actual que tiene el Comité Coordinador </w:t>
      </w:r>
      <w:r w:rsidR="00D75CC1" w:rsidRPr="00E30F6D">
        <w:rPr>
          <w:sz w:val="22"/>
          <w:szCs w:val="22"/>
          <w:lang w:val="es-CL"/>
        </w:rPr>
        <w:t>para afrontar el desafío de la implementación de la estrategia propiamente tal, tratando de solventar las deficie</w:t>
      </w:r>
      <w:r w:rsidR="00B7721F" w:rsidRPr="00E30F6D">
        <w:rPr>
          <w:sz w:val="22"/>
          <w:szCs w:val="22"/>
          <w:lang w:val="es-CL"/>
        </w:rPr>
        <w:t xml:space="preserve">ncias identificadas hasta ahora, entre ellas, la nula participación </w:t>
      </w:r>
      <w:r w:rsidR="00777710" w:rsidRPr="00E30F6D">
        <w:rPr>
          <w:sz w:val="22"/>
          <w:szCs w:val="22"/>
          <w:lang w:val="es-CL"/>
        </w:rPr>
        <w:t>del sector de la Sociedad Civil</w:t>
      </w:r>
      <w:r w:rsidR="003A5F87" w:rsidRPr="00E30F6D">
        <w:rPr>
          <w:sz w:val="22"/>
          <w:szCs w:val="22"/>
          <w:lang w:val="es-CL"/>
        </w:rPr>
        <w:t>,</w:t>
      </w:r>
      <w:r w:rsidR="00777710" w:rsidRPr="00E30F6D">
        <w:rPr>
          <w:sz w:val="22"/>
          <w:szCs w:val="22"/>
          <w:lang w:val="es-CL"/>
        </w:rPr>
        <w:t xml:space="preserve"> con el fin de cumplir con lo recomendado por UNITAR en relación a que se promueva la participación de todos los sectores y actores pertinentes en la planificación de la aplicaci</w:t>
      </w:r>
      <w:r w:rsidR="00160A49" w:rsidRPr="00E30F6D">
        <w:rPr>
          <w:sz w:val="22"/>
          <w:szCs w:val="22"/>
          <w:lang w:val="es-CL"/>
        </w:rPr>
        <w:t xml:space="preserve">ón del GHS, sobre todo considerando los nuevos objetivos que conllevará </w:t>
      </w:r>
      <w:r w:rsidR="00712CD9">
        <w:rPr>
          <w:sz w:val="22"/>
          <w:szCs w:val="22"/>
          <w:lang w:val="es-CL"/>
        </w:rPr>
        <w:t>su</w:t>
      </w:r>
      <w:r w:rsidR="00160A49" w:rsidRPr="00E30F6D">
        <w:rPr>
          <w:sz w:val="22"/>
          <w:szCs w:val="22"/>
          <w:lang w:val="es-CL"/>
        </w:rPr>
        <w:t xml:space="preserve"> implementación.</w:t>
      </w:r>
    </w:p>
    <w:p w:rsidR="00D54240" w:rsidRPr="006720D8" w:rsidRDefault="009E7BE6" w:rsidP="00606EAC">
      <w:pPr>
        <w:jc w:val="both"/>
        <w:rPr>
          <w:b/>
          <w:sz w:val="22"/>
          <w:u w:val="single"/>
          <w:lang w:val="es-CL"/>
        </w:rPr>
      </w:pPr>
      <w:r w:rsidRPr="009E674A">
        <w:rPr>
          <w:b/>
          <w:sz w:val="22"/>
          <w:u w:val="single"/>
          <w:lang w:val="es-CL"/>
        </w:rPr>
        <w:t>Objetivo Estrat</w:t>
      </w:r>
      <w:r w:rsidRPr="009E674A">
        <w:rPr>
          <w:b/>
          <w:sz w:val="22"/>
          <w:u w:val="single"/>
        </w:rPr>
        <w:t>é</w:t>
      </w:r>
      <w:r w:rsidRPr="009E674A">
        <w:rPr>
          <w:b/>
          <w:sz w:val="22"/>
          <w:u w:val="single"/>
          <w:lang w:val="es-CL"/>
        </w:rPr>
        <w:t>gi</w:t>
      </w:r>
      <w:r w:rsidRPr="009E674A">
        <w:rPr>
          <w:b/>
          <w:sz w:val="22"/>
          <w:u w:val="single"/>
        </w:rPr>
        <w:t>co</w:t>
      </w:r>
      <w:r w:rsidR="00136207" w:rsidRPr="009E674A">
        <w:rPr>
          <w:b/>
          <w:sz w:val="22"/>
          <w:szCs w:val="23"/>
          <w:u w:val="single"/>
          <w:lang w:val="es-CL"/>
        </w:rPr>
        <w:t>1</w:t>
      </w:r>
      <w:r w:rsidR="00D54240" w:rsidRPr="009E674A">
        <w:rPr>
          <w:b/>
          <w:sz w:val="22"/>
          <w:szCs w:val="23"/>
          <w:u w:val="single"/>
          <w:lang w:val="es-CL"/>
        </w:rPr>
        <w:t xml:space="preserve">: </w:t>
      </w:r>
      <w:r w:rsidR="00B47058" w:rsidRPr="009E674A">
        <w:rPr>
          <w:b/>
          <w:sz w:val="22"/>
          <w:szCs w:val="23"/>
          <w:u w:val="single"/>
          <w:lang w:val="es-CL"/>
        </w:rPr>
        <w:t xml:space="preserve">Revisión </w:t>
      </w:r>
      <w:r w:rsidR="00777710" w:rsidRPr="009E674A">
        <w:rPr>
          <w:b/>
          <w:sz w:val="22"/>
          <w:szCs w:val="23"/>
          <w:u w:val="single"/>
          <w:lang w:val="es-CL"/>
        </w:rPr>
        <w:t xml:space="preserve">y mejoramiento </w:t>
      </w:r>
      <w:r w:rsidR="00B47058" w:rsidRPr="009E674A">
        <w:rPr>
          <w:b/>
          <w:sz w:val="22"/>
          <w:szCs w:val="23"/>
          <w:u w:val="single"/>
          <w:lang w:val="es-CL"/>
        </w:rPr>
        <w:t xml:space="preserve">de </w:t>
      </w:r>
      <w:r w:rsidR="00EF3F21" w:rsidRPr="009E674A">
        <w:rPr>
          <w:b/>
          <w:sz w:val="22"/>
          <w:szCs w:val="23"/>
          <w:u w:val="single"/>
          <w:lang w:val="es-CL"/>
        </w:rPr>
        <w:t>la estructura organizacional del Comité Coordinador</w:t>
      </w:r>
      <w:r w:rsidR="00D54240" w:rsidRPr="009E674A">
        <w:rPr>
          <w:b/>
          <w:sz w:val="22"/>
          <w:szCs w:val="23"/>
          <w:u w:val="single"/>
          <w:lang w:val="es-CL"/>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5"/>
        <w:gridCol w:w="1750"/>
        <w:gridCol w:w="4170"/>
        <w:gridCol w:w="1437"/>
        <w:gridCol w:w="817"/>
      </w:tblGrid>
      <w:tr w:rsidR="006720D8" w:rsidRPr="00BA10CE" w:rsidTr="00C37B65">
        <w:tc>
          <w:tcPr>
            <w:tcW w:w="1855" w:type="dxa"/>
            <w:shd w:val="clear" w:color="auto" w:fill="94B6D2"/>
            <w:vAlign w:val="center"/>
          </w:tcPr>
          <w:p w:rsidR="006720D8" w:rsidRPr="00D54E39" w:rsidRDefault="006720D8" w:rsidP="00C37B65">
            <w:pPr>
              <w:spacing w:after="0" w:line="240" w:lineRule="auto"/>
              <w:rPr>
                <w:kern w:val="0"/>
                <w:sz w:val="20"/>
                <w:lang w:val="es-CL"/>
              </w:rPr>
            </w:pPr>
            <w:r w:rsidRPr="00D54E39">
              <w:rPr>
                <w:kern w:val="0"/>
                <w:sz w:val="20"/>
                <w:lang w:val="es-CL"/>
              </w:rPr>
              <w:t>Objetivo Específico</w:t>
            </w:r>
          </w:p>
        </w:tc>
        <w:tc>
          <w:tcPr>
            <w:tcW w:w="1762" w:type="dxa"/>
            <w:shd w:val="clear" w:color="auto" w:fill="94B6D2"/>
            <w:vAlign w:val="center"/>
          </w:tcPr>
          <w:p w:rsidR="006720D8" w:rsidRPr="00D54E39" w:rsidRDefault="006720D8" w:rsidP="00C37B65">
            <w:pPr>
              <w:spacing w:after="0" w:line="240" w:lineRule="auto"/>
              <w:rPr>
                <w:kern w:val="0"/>
                <w:sz w:val="20"/>
                <w:lang w:val="es-CL"/>
              </w:rPr>
            </w:pPr>
            <w:r w:rsidRPr="00D54E39">
              <w:rPr>
                <w:kern w:val="0"/>
                <w:sz w:val="20"/>
                <w:lang w:val="es-CL"/>
              </w:rPr>
              <w:t>Metas</w:t>
            </w:r>
          </w:p>
        </w:tc>
        <w:tc>
          <w:tcPr>
            <w:tcW w:w="4471" w:type="dxa"/>
            <w:shd w:val="clear" w:color="auto" w:fill="94B6D2"/>
            <w:vAlign w:val="center"/>
          </w:tcPr>
          <w:p w:rsidR="006720D8" w:rsidRPr="00D54E39" w:rsidRDefault="006720D8" w:rsidP="00C37B65">
            <w:pPr>
              <w:spacing w:after="0" w:line="240" w:lineRule="auto"/>
              <w:rPr>
                <w:kern w:val="0"/>
                <w:sz w:val="20"/>
                <w:lang w:val="es-CL"/>
              </w:rPr>
            </w:pPr>
            <w:r w:rsidRPr="00D54E39">
              <w:rPr>
                <w:kern w:val="0"/>
                <w:sz w:val="20"/>
                <w:lang w:val="es-CL"/>
              </w:rPr>
              <w:t>Actividades</w:t>
            </w:r>
          </w:p>
        </w:tc>
        <w:tc>
          <w:tcPr>
            <w:tcW w:w="1329" w:type="dxa"/>
            <w:shd w:val="clear" w:color="auto" w:fill="94B6D2"/>
            <w:vAlign w:val="center"/>
          </w:tcPr>
          <w:p w:rsidR="006720D8" w:rsidRPr="00D54E39" w:rsidRDefault="006720D8" w:rsidP="00C37B65">
            <w:pPr>
              <w:spacing w:after="0" w:line="240" w:lineRule="auto"/>
              <w:rPr>
                <w:kern w:val="0"/>
                <w:sz w:val="20"/>
                <w:lang w:val="es-CL"/>
              </w:rPr>
            </w:pPr>
            <w:r w:rsidRPr="00D54E39">
              <w:rPr>
                <w:kern w:val="0"/>
                <w:sz w:val="20"/>
                <w:lang w:val="es-CL"/>
              </w:rPr>
              <w:t>Responsable</w:t>
            </w:r>
          </w:p>
        </w:tc>
        <w:tc>
          <w:tcPr>
            <w:tcW w:w="828" w:type="dxa"/>
            <w:shd w:val="clear" w:color="auto" w:fill="94B6D2"/>
            <w:vAlign w:val="center"/>
          </w:tcPr>
          <w:p w:rsidR="006720D8" w:rsidRPr="00D54E39" w:rsidRDefault="006720D8" w:rsidP="00C37B65">
            <w:pPr>
              <w:spacing w:after="0" w:line="240" w:lineRule="auto"/>
              <w:rPr>
                <w:kern w:val="0"/>
                <w:sz w:val="20"/>
                <w:lang w:val="es-CL"/>
              </w:rPr>
            </w:pPr>
            <w:r w:rsidRPr="00D54E39">
              <w:rPr>
                <w:kern w:val="0"/>
                <w:sz w:val="20"/>
                <w:lang w:val="es-CL"/>
              </w:rPr>
              <w:t>Plazo</w:t>
            </w:r>
          </w:p>
        </w:tc>
      </w:tr>
      <w:tr w:rsidR="006720D8" w:rsidRPr="00BA10CE" w:rsidTr="00C37B65">
        <w:trPr>
          <w:trHeight w:val="850"/>
        </w:trPr>
        <w:tc>
          <w:tcPr>
            <w:tcW w:w="1855" w:type="dxa"/>
            <w:vMerge w:val="restart"/>
          </w:tcPr>
          <w:p w:rsidR="006720D8" w:rsidRPr="00BA10CE" w:rsidRDefault="006720D8" w:rsidP="00C37B65">
            <w:pPr>
              <w:spacing w:after="0" w:line="240" w:lineRule="auto"/>
              <w:rPr>
                <w:b/>
                <w:bCs/>
                <w:kern w:val="0"/>
                <w:sz w:val="20"/>
                <w:lang w:val="es-CL"/>
              </w:rPr>
            </w:pPr>
            <w:r w:rsidRPr="00BA10CE">
              <w:rPr>
                <w:b/>
                <w:bCs/>
                <w:kern w:val="0"/>
                <w:sz w:val="20"/>
                <w:lang w:val="es-CL"/>
              </w:rPr>
              <w:t>1) Lograr la participación en el Comité de todos los sectores involucrados en la implementación del GHS</w:t>
            </w:r>
          </w:p>
        </w:tc>
        <w:tc>
          <w:tcPr>
            <w:tcW w:w="1762" w:type="dxa"/>
          </w:tcPr>
          <w:p w:rsidR="006720D8" w:rsidRPr="00F13083" w:rsidRDefault="006720D8" w:rsidP="00C37B65">
            <w:pPr>
              <w:spacing w:after="0" w:line="240" w:lineRule="auto"/>
              <w:rPr>
                <w:kern w:val="0"/>
                <w:sz w:val="20"/>
                <w:lang w:val="es-CL"/>
              </w:rPr>
            </w:pPr>
            <w:r w:rsidRPr="00F13083">
              <w:rPr>
                <w:kern w:val="0"/>
                <w:sz w:val="20"/>
                <w:lang w:val="es-CL"/>
              </w:rPr>
              <w:t>1.1) Identificar a sectores no representados</w:t>
            </w:r>
          </w:p>
        </w:tc>
        <w:tc>
          <w:tcPr>
            <w:tcW w:w="4471" w:type="dxa"/>
          </w:tcPr>
          <w:p w:rsidR="006720D8" w:rsidRPr="00F13083" w:rsidRDefault="006720D8" w:rsidP="00C37B65">
            <w:pPr>
              <w:spacing w:after="0" w:line="240" w:lineRule="auto"/>
              <w:rPr>
                <w:kern w:val="0"/>
                <w:sz w:val="20"/>
                <w:lang w:val="es-CL"/>
              </w:rPr>
            </w:pPr>
            <w:r w:rsidRPr="00F13083">
              <w:rPr>
                <w:kern w:val="0"/>
                <w:sz w:val="20"/>
                <w:lang w:val="es-CL"/>
              </w:rPr>
              <w:t>1.1.1) Realizar revisión y análisis dentro de los integrantes del Comité para identificar a otros actores, además de la Sociedad Civil, que podrían faltar y ser de importancia para la implementación del GHS (Por ejemplo, otros organismos gubernamentales o de la industria)</w:t>
            </w:r>
          </w:p>
        </w:tc>
        <w:tc>
          <w:tcPr>
            <w:tcW w:w="1329" w:type="dxa"/>
            <w:vMerge w:val="restart"/>
          </w:tcPr>
          <w:p w:rsidR="006720D8" w:rsidRPr="00BA10CE" w:rsidRDefault="006720D8" w:rsidP="00C37B65">
            <w:pPr>
              <w:spacing w:after="0" w:line="240" w:lineRule="auto"/>
              <w:rPr>
                <w:kern w:val="0"/>
                <w:sz w:val="20"/>
                <w:lang w:val="es-CL"/>
              </w:rPr>
            </w:pPr>
            <w:r w:rsidRPr="00BA10CE">
              <w:rPr>
                <w:kern w:val="0"/>
                <w:sz w:val="20"/>
                <w:lang w:val="es-CL"/>
              </w:rPr>
              <w:t>Ministerio de Salud e Integrantes actuales del Comité</w:t>
            </w:r>
          </w:p>
        </w:tc>
        <w:tc>
          <w:tcPr>
            <w:tcW w:w="828" w:type="dxa"/>
          </w:tcPr>
          <w:p w:rsidR="006720D8" w:rsidRPr="00BA10CE" w:rsidRDefault="006720D8" w:rsidP="00C37B65">
            <w:pPr>
              <w:spacing w:after="0" w:line="240" w:lineRule="auto"/>
              <w:rPr>
                <w:kern w:val="0"/>
                <w:sz w:val="20"/>
                <w:lang w:val="es-CL"/>
              </w:rPr>
            </w:pPr>
            <w:r>
              <w:rPr>
                <w:kern w:val="0"/>
                <w:sz w:val="20"/>
                <w:lang w:val="es-CL"/>
              </w:rPr>
              <w:t>2015</w:t>
            </w:r>
          </w:p>
        </w:tc>
      </w:tr>
      <w:tr w:rsidR="006720D8" w:rsidRPr="00BA10CE" w:rsidTr="00C37B65">
        <w:trPr>
          <w:trHeight w:val="1555"/>
        </w:trPr>
        <w:tc>
          <w:tcPr>
            <w:tcW w:w="1855" w:type="dxa"/>
            <w:vMerge/>
          </w:tcPr>
          <w:p w:rsidR="006720D8" w:rsidRPr="00BA10CE" w:rsidRDefault="006720D8" w:rsidP="00C37B65">
            <w:pPr>
              <w:spacing w:after="0" w:line="240" w:lineRule="auto"/>
              <w:rPr>
                <w:rFonts w:ascii="Calibri" w:hAnsi="Calibri" w:cs="Calibri"/>
                <w:b/>
                <w:bCs/>
                <w:kern w:val="0"/>
                <w:sz w:val="20"/>
                <w:lang w:val="es-CL"/>
              </w:rPr>
            </w:pPr>
          </w:p>
        </w:tc>
        <w:tc>
          <w:tcPr>
            <w:tcW w:w="1762" w:type="dxa"/>
          </w:tcPr>
          <w:p w:rsidR="006720D8" w:rsidRPr="00F13083" w:rsidRDefault="006720D8" w:rsidP="00C37B65">
            <w:pPr>
              <w:spacing w:after="0" w:line="240" w:lineRule="auto"/>
              <w:rPr>
                <w:kern w:val="0"/>
                <w:sz w:val="20"/>
                <w:lang w:val="es-CL"/>
              </w:rPr>
            </w:pPr>
            <w:r w:rsidRPr="00F13083">
              <w:rPr>
                <w:kern w:val="0"/>
                <w:sz w:val="20"/>
                <w:lang w:val="es-CL"/>
              </w:rPr>
              <w:t>1.2) Realizar convocatoria a posibles interesados de sectores no representados</w:t>
            </w:r>
          </w:p>
        </w:tc>
        <w:tc>
          <w:tcPr>
            <w:tcW w:w="4471" w:type="dxa"/>
          </w:tcPr>
          <w:p w:rsidR="006720D8" w:rsidRPr="00F13083" w:rsidRDefault="006720D8" w:rsidP="00C37B65">
            <w:pPr>
              <w:spacing w:after="0" w:line="240" w:lineRule="auto"/>
              <w:rPr>
                <w:kern w:val="0"/>
                <w:sz w:val="20"/>
                <w:lang w:val="es-CL"/>
              </w:rPr>
            </w:pPr>
            <w:r w:rsidRPr="00F13083">
              <w:rPr>
                <w:kern w:val="0"/>
                <w:sz w:val="20"/>
                <w:lang w:val="es-CL"/>
              </w:rPr>
              <w:t>1.2.1) Contactar y reunirse con representantes de ONG´s u otros organismos que podrían estar interesados</w:t>
            </w:r>
          </w:p>
          <w:p w:rsidR="006720D8" w:rsidRPr="00F13083" w:rsidRDefault="006720D8" w:rsidP="00C37B65">
            <w:pPr>
              <w:spacing w:after="0" w:line="240" w:lineRule="auto"/>
              <w:rPr>
                <w:kern w:val="0"/>
                <w:sz w:val="20"/>
                <w:lang w:val="es-CL"/>
              </w:rPr>
            </w:pPr>
            <w:r w:rsidRPr="00F13083">
              <w:rPr>
                <w:kern w:val="0"/>
                <w:sz w:val="20"/>
                <w:lang w:val="es-CL"/>
              </w:rPr>
              <w:t>1.2.2) Entregar material sobre GHS para informar y sensibilizar sobre la importancia de su participación en el Comité (elaborar folletos y/o informes específicos para cada organización).</w:t>
            </w:r>
          </w:p>
          <w:p w:rsidR="006720D8" w:rsidRPr="00F13083" w:rsidRDefault="006720D8" w:rsidP="00C37B65">
            <w:pPr>
              <w:spacing w:after="0" w:line="240" w:lineRule="auto"/>
              <w:rPr>
                <w:rFonts w:ascii="Calibri" w:hAnsi="Calibri" w:cs="Calibri"/>
                <w:kern w:val="0"/>
                <w:sz w:val="20"/>
                <w:lang w:val="es-CL"/>
              </w:rPr>
            </w:pPr>
            <w:r w:rsidRPr="00F13083">
              <w:rPr>
                <w:kern w:val="0"/>
                <w:sz w:val="20"/>
                <w:lang w:val="es-CL"/>
              </w:rPr>
              <w:t>1.2.3) Realizar charlas de difusión donde se especifiquen los avances alcanzados a la fecha y el plan de trabajo del Comité.</w:t>
            </w:r>
          </w:p>
        </w:tc>
        <w:tc>
          <w:tcPr>
            <w:tcW w:w="1329" w:type="dxa"/>
            <w:vMerge/>
          </w:tcPr>
          <w:p w:rsidR="006720D8" w:rsidRPr="00BA10CE" w:rsidRDefault="006720D8" w:rsidP="00C37B65">
            <w:pPr>
              <w:spacing w:after="0" w:line="240" w:lineRule="auto"/>
              <w:rPr>
                <w:rFonts w:ascii="Calibri" w:hAnsi="Calibri" w:cs="Calibri"/>
                <w:kern w:val="0"/>
                <w:sz w:val="20"/>
                <w:lang w:val="es-CL"/>
              </w:rPr>
            </w:pPr>
          </w:p>
        </w:tc>
        <w:tc>
          <w:tcPr>
            <w:tcW w:w="828" w:type="dxa"/>
          </w:tcPr>
          <w:p w:rsidR="006720D8" w:rsidRPr="00BA10CE" w:rsidRDefault="006720D8" w:rsidP="00C37B65">
            <w:pPr>
              <w:spacing w:after="0" w:line="240" w:lineRule="auto"/>
              <w:rPr>
                <w:rFonts w:ascii="Calibri" w:hAnsi="Calibri" w:cs="Calibri"/>
                <w:kern w:val="0"/>
                <w:sz w:val="20"/>
                <w:lang w:val="es-CL"/>
              </w:rPr>
            </w:pPr>
            <w:r>
              <w:rPr>
                <w:rFonts w:ascii="Calibri" w:hAnsi="Calibri" w:cs="Calibri"/>
                <w:kern w:val="0"/>
                <w:sz w:val="20"/>
                <w:lang w:val="es-CL"/>
              </w:rPr>
              <w:t>2015 -2016</w:t>
            </w:r>
          </w:p>
        </w:tc>
      </w:tr>
      <w:tr w:rsidR="006720D8" w:rsidRPr="00BA10CE" w:rsidTr="00C37B65">
        <w:trPr>
          <w:trHeight w:val="1409"/>
        </w:trPr>
        <w:tc>
          <w:tcPr>
            <w:tcW w:w="1855" w:type="dxa"/>
            <w:vMerge/>
          </w:tcPr>
          <w:p w:rsidR="006720D8" w:rsidRPr="00BA10CE" w:rsidRDefault="006720D8" w:rsidP="00C37B65">
            <w:pPr>
              <w:spacing w:after="0" w:line="240" w:lineRule="auto"/>
              <w:rPr>
                <w:rFonts w:ascii="Calibri" w:hAnsi="Calibri" w:cs="Calibri"/>
                <w:b/>
                <w:bCs/>
                <w:kern w:val="0"/>
                <w:sz w:val="20"/>
                <w:lang w:val="es-CL"/>
              </w:rPr>
            </w:pPr>
          </w:p>
        </w:tc>
        <w:tc>
          <w:tcPr>
            <w:tcW w:w="1762" w:type="dxa"/>
          </w:tcPr>
          <w:p w:rsidR="006720D8" w:rsidRPr="00F13083" w:rsidRDefault="006720D8" w:rsidP="00C37B65">
            <w:pPr>
              <w:spacing w:after="0" w:line="240" w:lineRule="auto"/>
              <w:rPr>
                <w:kern w:val="0"/>
                <w:sz w:val="20"/>
                <w:lang w:val="es-CL"/>
              </w:rPr>
            </w:pPr>
            <w:r w:rsidRPr="00F13083">
              <w:rPr>
                <w:kern w:val="0"/>
                <w:sz w:val="20"/>
                <w:lang w:val="es-CL"/>
              </w:rPr>
              <w:t>1.3) Comprometer participación de todos los representantes en Comité Coordinador</w:t>
            </w:r>
          </w:p>
        </w:tc>
        <w:tc>
          <w:tcPr>
            <w:tcW w:w="4471" w:type="dxa"/>
          </w:tcPr>
          <w:p w:rsidR="006720D8" w:rsidRPr="00F13083" w:rsidRDefault="006720D8" w:rsidP="00C37B65">
            <w:pPr>
              <w:spacing w:after="0" w:line="240" w:lineRule="auto"/>
              <w:rPr>
                <w:kern w:val="0"/>
                <w:sz w:val="20"/>
                <w:lang w:val="es-CL"/>
              </w:rPr>
            </w:pPr>
            <w:r w:rsidRPr="00F13083">
              <w:rPr>
                <w:kern w:val="0"/>
                <w:sz w:val="20"/>
                <w:lang w:val="es-CL"/>
              </w:rPr>
              <w:t>1.3.1) Revisar los TDR con la finalidad de adaptarlos a los nuevos objetivos de la estrategia de implementación del GHS (incluir responsabilidades y/o tareas en temas de información y difusión de la estrategia de implementación)</w:t>
            </w:r>
          </w:p>
          <w:p w:rsidR="006720D8" w:rsidRPr="00F13083" w:rsidRDefault="006720D8" w:rsidP="00C37B65">
            <w:pPr>
              <w:spacing w:after="0" w:line="240" w:lineRule="auto"/>
              <w:rPr>
                <w:kern w:val="0"/>
                <w:sz w:val="20"/>
                <w:lang w:val="es-CL"/>
              </w:rPr>
            </w:pPr>
            <w:r w:rsidRPr="00F13083">
              <w:rPr>
                <w:kern w:val="0"/>
                <w:sz w:val="20"/>
                <w:lang w:val="es-CL"/>
              </w:rPr>
              <w:t>1.3.2) Informar sobre las responsabilidades y obligaciones a todos los integrantes del Comité</w:t>
            </w:r>
          </w:p>
          <w:p w:rsidR="006720D8" w:rsidRPr="00F13083" w:rsidRDefault="006720D8" w:rsidP="00C37B65">
            <w:pPr>
              <w:spacing w:after="0" w:line="240" w:lineRule="auto"/>
              <w:rPr>
                <w:kern w:val="0"/>
                <w:sz w:val="20"/>
                <w:lang w:val="es-CL"/>
              </w:rPr>
            </w:pPr>
            <w:r w:rsidRPr="00F13083">
              <w:rPr>
                <w:kern w:val="0"/>
                <w:sz w:val="20"/>
                <w:lang w:val="es-CL"/>
              </w:rPr>
              <w:t>1.3.3) Elaborar listado formal con los integrantes definitivos del Comité</w:t>
            </w:r>
          </w:p>
        </w:tc>
        <w:tc>
          <w:tcPr>
            <w:tcW w:w="1329" w:type="dxa"/>
            <w:vMerge/>
          </w:tcPr>
          <w:p w:rsidR="006720D8" w:rsidRPr="00BA10CE" w:rsidRDefault="006720D8" w:rsidP="00C37B65">
            <w:pPr>
              <w:spacing w:after="0" w:line="240" w:lineRule="auto"/>
              <w:rPr>
                <w:rFonts w:ascii="Calibri" w:hAnsi="Calibri" w:cs="Calibri"/>
                <w:kern w:val="0"/>
                <w:sz w:val="20"/>
                <w:lang w:val="es-CL"/>
              </w:rPr>
            </w:pPr>
          </w:p>
        </w:tc>
        <w:tc>
          <w:tcPr>
            <w:tcW w:w="828" w:type="dxa"/>
          </w:tcPr>
          <w:p w:rsidR="006720D8" w:rsidRPr="00BA10CE" w:rsidRDefault="006720D8" w:rsidP="00C37B65">
            <w:pPr>
              <w:spacing w:after="0" w:line="240" w:lineRule="auto"/>
              <w:rPr>
                <w:rFonts w:ascii="Calibri" w:hAnsi="Calibri" w:cs="Calibri"/>
                <w:kern w:val="0"/>
                <w:sz w:val="20"/>
                <w:lang w:val="es-CL"/>
              </w:rPr>
            </w:pPr>
            <w:r>
              <w:rPr>
                <w:rFonts w:ascii="Calibri" w:hAnsi="Calibri" w:cs="Calibri"/>
                <w:kern w:val="0"/>
                <w:sz w:val="20"/>
                <w:lang w:val="es-CL"/>
              </w:rPr>
              <w:t>2015</w:t>
            </w:r>
          </w:p>
        </w:tc>
      </w:tr>
    </w:tbl>
    <w:p w:rsidR="006720D8" w:rsidRPr="006720D8" w:rsidRDefault="006720D8" w:rsidP="00606EAC">
      <w:pPr>
        <w:rPr>
          <w:rFonts w:eastAsia="Calibri"/>
          <w:kern w:val="0"/>
          <w:sz w:val="20"/>
          <w:highlight w:val="yellow"/>
        </w:rPr>
        <w:sectPr w:rsidR="006720D8" w:rsidRPr="006720D8" w:rsidSect="006720D8">
          <w:headerReference w:type="even" r:id="rId34"/>
          <w:headerReference w:type="default" r:id="rId35"/>
          <w:footerReference w:type="even" r:id="rId36"/>
          <w:footerReference w:type="default" r:id="rId37"/>
          <w:headerReference w:type="first" r:id="rId38"/>
          <w:footerReference w:type="first" r:id="rId39"/>
          <w:pgSz w:w="12242" w:h="15842" w:code="1"/>
          <w:pgMar w:top="1145" w:right="1043" w:bottom="1145" w:left="1276" w:header="709" w:footer="709" w:gutter="0"/>
          <w:cols w:space="720"/>
          <w:titlePg/>
          <w:docGrid w:linePitch="360"/>
        </w:sectPr>
      </w:pPr>
    </w:p>
    <w:p w:rsidR="006C670C" w:rsidRPr="00E30F6D" w:rsidRDefault="00B306DF" w:rsidP="00270FA8">
      <w:pPr>
        <w:pStyle w:val="Heading2"/>
        <w:spacing w:before="0" w:after="180"/>
        <w:ind w:left="0" w:firstLine="0"/>
        <w:rPr>
          <w:lang w:val="es-CL"/>
        </w:rPr>
      </w:pPr>
      <w:bookmarkStart w:id="115" w:name="_Toc418168906"/>
      <w:r w:rsidRPr="00E30F6D">
        <w:rPr>
          <w:lang w:val="es-CL"/>
        </w:rPr>
        <w:t xml:space="preserve">Actividades </w:t>
      </w:r>
      <w:r w:rsidR="008A0F32" w:rsidRPr="00E30F6D">
        <w:rPr>
          <w:lang w:val="es-CL"/>
        </w:rPr>
        <w:t>levantamiento</w:t>
      </w:r>
      <w:r w:rsidRPr="00E30F6D">
        <w:rPr>
          <w:lang w:val="es-CL"/>
        </w:rPr>
        <w:t xml:space="preserve"> de información</w:t>
      </w:r>
      <w:bookmarkEnd w:id="115"/>
    </w:p>
    <w:p w:rsidR="002013AA" w:rsidRPr="00E30F6D" w:rsidRDefault="002013AA" w:rsidP="00606EAC">
      <w:pPr>
        <w:jc w:val="both"/>
        <w:rPr>
          <w:sz w:val="22"/>
          <w:szCs w:val="22"/>
          <w:lang w:val="es-CL"/>
        </w:rPr>
      </w:pPr>
      <w:r w:rsidRPr="00E30F6D">
        <w:rPr>
          <w:sz w:val="22"/>
          <w:szCs w:val="22"/>
          <w:lang w:val="es-CL"/>
        </w:rPr>
        <w:t>En el análisis de vacíos se detectaron deficiencias en la información disponible para la gestión de sustancias químicas, por ejemplo, desconocimiento de cuál es el consumo, quiénes son los consumidores y los inventarios de éstas, lo que dificulta la aplicación del GHS. Sin esta información, los organismos pertinentes no sabrán dónde enfocar las iniciativas de sensibilización, capacitación y fiscalización. Por otra parte, el no contar con registros nacionales detallados sobre las sustancias químicas, donde se especifique los peligros, análisis toxicológicos e información de riesgo</w:t>
      </w:r>
      <w:r w:rsidR="00E30F6D" w:rsidRPr="00E30F6D">
        <w:rPr>
          <w:sz w:val="22"/>
          <w:szCs w:val="22"/>
          <w:lang w:val="es-CL"/>
        </w:rPr>
        <w:t>,</w:t>
      </w:r>
      <w:r w:rsidRPr="00E30F6D">
        <w:rPr>
          <w:sz w:val="22"/>
          <w:szCs w:val="22"/>
          <w:lang w:val="es-CL"/>
        </w:rPr>
        <w:t xml:space="preserve"> dificulta la creación de capacidades para la clasificación y etiquetado de nuevas sustancias y de los procesos de fiscalización. Por último, los servicios de emergencia no contarán con la suficiente información para planificar contingencias.</w:t>
      </w:r>
    </w:p>
    <w:p w:rsidR="002013AA" w:rsidRPr="00E30F6D" w:rsidRDefault="002013AA" w:rsidP="00606EAC">
      <w:pPr>
        <w:jc w:val="both"/>
        <w:rPr>
          <w:sz w:val="22"/>
          <w:szCs w:val="22"/>
          <w:lang w:val="es-CL"/>
        </w:rPr>
      </w:pPr>
      <w:r w:rsidRPr="00E30F6D">
        <w:rPr>
          <w:sz w:val="22"/>
          <w:szCs w:val="22"/>
          <w:lang w:val="es-CL"/>
        </w:rPr>
        <w:t>En la estrategia a corto plazo se propone realizar un levantamiento de información consist</w:t>
      </w:r>
      <w:r w:rsidR="00BE2554" w:rsidRPr="00E30F6D">
        <w:rPr>
          <w:sz w:val="22"/>
          <w:szCs w:val="22"/>
          <w:lang w:val="es-CL"/>
        </w:rPr>
        <w:t xml:space="preserve">ente </w:t>
      </w:r>
      <w:r w:rsidR="003E3E54" w:rsidRPr="00E30F6D">
        <w:rPr>
          <w:sz w:val="22"/>
          <w:szCs w:val="22"/>
          <w:lang w:val="es-CL"/>
        </w:rPr>
        <w:t>en realizar una base de datos</w:t>
      </w:r>
      <w:r w:rsidRPr="00E30F6D">
        <w:rPr>
          <w:sz w:val="22"/>
          <w:szCs w:val="22"/>
          <w:lang w:val="es-CL"/>
        </w:rPr>
        <w:t xml:space="preserve"> de las sustancias</w:t>
      </w:r>
      <w:r w:rsidR="00250945" w:rsidRPr="00E30F6D">
        <w:rPr>
          <w:sz w:val="22"/>
          <w:szCs w:val="22"/>
          <w:lang w:val="es-CL"/>
        </w:rPr>
        <w:t xml:space="preserve"> químicas manejadas en el país</w:t>
      </w:r>
      <w:r w:rsidR="003E3E54" w:rsidRPr="00E30F6D">
        <w:rPr>
          <w:sz w:val="22"/>
          <w:szCs w:val="22"/>
          <w:lang w:val="es-CL"/>
        </w:rPr>
        <w:t>,</w:t>
      </w:r>
      <w:r w:rsidR="00250945" w:rsidRPr="00E30F6D">
        <w:rPr>
          <w:sz w:val="22"/>
          <w:szCs w:val="22"/>
          <w:lang w:val="es-CL"/>
        </w:rPr>
        <w:t xml:space="preserve"> de las clasificaciones asociadas a ellas y</w:t>
      </w:r>
      <w:r w:rsidRPr="00E30F6D">
        <w:rPr>
          <w:sz w:val="22"/>
          <w:szCs w:val="22"/>
          <w:lang w:val="es-CL"/>
        </w:rPr>
        <w:t xml:space="preserve"> </w:t>
      </w:r>
      <w:r w:rsidR="006510C9" w:rsidRPr="00E30F6D">
        <w:rPr>
          <w:sz w:val="22"/>
          <w:szCs w:val="22"/>
          <w:lang w:val="es-CL"/>
        </w:rPr>
        <w:t>las cantidades gruesas</w:t>
      </w:r>
      <w:r w:rsidRPr="00E30F6D">
        <w:rPr>
          <w:sz w:val="22"/>
          <w:szCs w:val="22"/>
          <w:lang w:val="es-CL"/>
        </w:rPr>
        <w:t xml:space="preserve"> d</w:t>
      </w:r>
      <w:r w:rsidR="002175A7" w:rsidRPr="00E30F6D">
        <w:rPr>
          <w:sz w:val="22"/>
          <w:szCs w:val="22"/>
          <w:lang w:val="es-CL"/>
        </w:rPr>
        <w:t>e cada una</w:t>
      </w:r>
      <w:r w:rsidRPr="00E30F6D">
        <w:rPr>
          <w:sz w:val="22"/>
          <w:szCs w:val="22"/>
          <w:lang w:val="es-CL"/>
        </w:rPr>
        <w:t>.</w:t>
      </w:r>
      <w:r w:rsidR="003E3E54" w:rsidRPr="00E30F6D">
        <w:rPr>
          <w:sz w:val="22"/>
          <w:szCs w:val="22"/>
          <w:lang w:val="es-CL"/>
        </w:rPr>
        <w:t xml:space="preserve"> En este caso se debe contar con información sobre exportación, importación, producción y uso de sustancias químicas en el país.</w:t>
      </w:r>
    </w:p>
    <w:p w:rsidR="002013AA" w:rsidRPr="003A5D32" w:rsidRDefault="002013AA" w:rsidP="00606EAC">
      <w:pPr>
        <w:jc w:val="both"/>
        <w:rPr>
          <w:sz w:val="22"/>
          <w:szCs w:val="22"/>
          <w:lang w:val="es-CL"/>
        </w:rPr>
      </w:pPr>
      <w:r w:rsidRPr="003A5D32">
        <w:rPr>
          <w:sz w:val="22"/>
          <w:szCs w:val="22"/>
          <w:lang w:val="es-CL"/>
        </w:rPr>
        <w:t>En el largo plazo, se deberá definir la necesidad de contar con registros de sustancias químicas ya sean meramente informativos o con el objetivo de evaluar el producto para autorizar su uso y/o comercio proponiendo en qué sectores serían más necesarios, para lo cual se deberá contar con la infraestructura y capacidad</w:t>
      </w:r>
      <w:r w:rsidR="00616ED2" w:rsidRPr="003A5D32">
        <w:rPr>
          <w:sz w:val="22"/>
          <w:szCs w:val="22"/>
          <w:lang w:val="es-CL"/>
        </w:rPr>
        <w:t>es</w:t>
      </w:r>
      <w:r w:rsidR="003A5D32" w:rsidRPr="003A5D32">
        <w:rPr>
          <w:sz w:val="22"/>
          <w:szCs w:val="22"/>
          <w:lang w:val="es-CL"/>
        </w:rPr>
        <w:t xml:space="preserve"> requeridas, las cuales actualmente</w:t>
      </w:r>
      <w:r w:rsidRPr="003A5D32">
        <w:rPr>
          <w:sz w:val="22"/>
          <w:szCs w:val="22"/>
          <w:lang w:val="es-CL"/>
        </w:rPr>
        <w:t xml:space="preserve"> </w:t>
      </w:r>
      <w:r w:rsidR="00616ED2" w:rsidRPr="003A5D32">
        <w:rPr>
          <w:sz w:val="22"/>
          <w:szCs w:val="22"/>
          <w:lang w:val="es-CL"/>
        </w:rPr>
        <w:t>son</w:t>
      </w:r>
      <w:r w:rsidRPr="003A5D32">
        <w:rPr>
          <w:sz w:val="22"/>
          <w:szCs w:val="22"/>
          <w:lang w:val="es-CL"/>
        </w:rPr>
        <w:t xml:space="preserve"> escasa</w:t>
      </w:r>
      <w:r w:rsidR="00616ED2" w:rsidRPr="003A5D32">
        <w:rPr>
          <w:sz w:val="22"/>
          <w:szCs w:val="22"/>
          <w:lang w:val="es-CL"/>
        </w:rPr>
        <w:t>s</w:t>
      </w:r>
      <w:r w:rsidRPr="003A5D32">
        <w:rPr>
          <w:sz w:val="22"/>
          <w:szCs w:val="22"/>
          <w:lang w:val="es-CL"/>
        </w:rPr>
        <w:t xml:space="preserve"> (se cuenta con la infraestructura base que realiza registros </w:t>
      </w:r>
      <w:r w:rsidR="003A5D32" w:rsidRPr="003A5D32">
        <w:rPr>
          <w:sz w:val="22"/>
          <w:szCs w:val="22"/>
          <w:lang w:val="es-CL"/>
        </w:rPr>
        <w:t>para plaguicidas de uso agrícola y de uso sanitario y doméstico)</w:t>
      </w:r>
    </w:p>
    <w:p w:rsidR="008B23D5" w:rsidRPr="00E551B0" w:rsidRDefault="008B23D5" w:rsidP="00606EAC">
      <w:pPr>
        <w:jc w:val="both"/>
        <w:rPr>
          <w:sz w:val="22"/>
          <w:szCs w:val="22"/>
          <w:highlight w:val="yellow"/>
          <w:lang w:val="es-CL"/>
        </w:rPr>
      </w:pPr>
    </w:p>
    <w:p w:rsidR="00143F6C" w:rsidRPr="00E551B0" w:rsidRDefault="00143F6C" w:rsidP="00606EAC">
      <w:pPr>
        <w:jc w:val="both"/>
        <w:rPr>
          <w:b/>
          <w:highlight w:val="yellow"/>
          <w:u w:val="single"/>
          <w:lang w:val="es-CL"/>
        </w:rPr>
        <w:sectPr w:rsidR="00143F6C" w:rsidRPr="00E551B0" w:rsidSect="00AA1F5B">
          <w:pgSz w:w="12242" w:h="15842" w:code="1"/>
          <w:pgMar w:top="1145" w:right="1043" w:bottom="1145" w:left="1276" w:header="709" w:footer="709" w:gutter="0"/>
          <w:cols w:space="720"/>
          <w:titlePg/>
          <w:docGrid w:linePitch="360"/>
        </w:sectPr>
      </w:pPr>
    </w:p>
    <w:p w:rsidR="00F86A95" w:rsidRPr="009E674A" w:rsidRDefault="00D02BE0" w:rsidP="00606EAC">
      <w:pPr>
        <w:jc w:val="both"/>
        <w:rPr>
          <w:b/>
          <w:sz w:val="22"/>
          <w:szCs w:val="23"/>
          <w:u w:val="single"/>
          <w:lang w:val="es-CL"/>
        </w:rPr>
      </w:pPr>
      <w:r w:rsidRPr="009E674A">
        <w:rPr>
          <w:b/>
          <w:sz w:val="22"/>
          <w:szCs w:val="23"/>
          <w:u w:val="single"/>
          <w:lang w:val="es-CL"/>
        </w:rPr>
        <w:t>Objetivo Estrat</w:t>
      </w:r>
      <w:r w:rsidR="009E7BE6" w:rsidRPr="009E674A">
        <w:rPr>
          <w:b/>
          <w:sz w:val="22"/>
          <w:szCs w:val="23"/>
          <w:u w:val="single"/>
        </w:rPr>
        <w:t>é</w:t>
      </w:r>
      <w:r w:rsidRPr="009E674A">
        <w:rPr>
          <w:b/>
          <w:sz w:val="22"/>
          <w:szCs w:val="23"/>
          <w:u w:val="single"/>
          <w:lang w:val="es-CL"/>
        </w:rPr>
        <w:t>gi</w:t>
      </w:r>
      <w:r w:rsidR="009E7BE6" w:rsidRPr="009E674A">
        <w:rPr>
          <w:b/>
          <w:sz w:val="22"/>
          <w:szCs w:val="23"/>
          <w:u w:val="single"/>
        </w:rPr>
        <w:t>co</w:t>
      </w:r>
      <w:r w:rsidRPr="009E674A">
        <w:rPr>
          <w:b/>
          <w:sz w:val="22"/>
          <w:szCs w:val="23"/>
          <w:u w:val="single"/>
          <w:lang w:val="es-CL"/>
        </w:rPr>
        <w:t xml:space="preserve"> 2: </w:t>
      </w:r>
      <w:r w:rsidR="006A57AB" w:rsidRPr="009E674A">
        <w:rPr>
          <w:b/>
          <w:sz w:val="22"/>
          <w:szCs w:val="23"/>
          <w:u w:val="single"/>
          <w:lang w:val="es-CL"/>
        </w:rPr>
        <w:t>Levantamiento de información</w:t>
      </w:r>
      <w:r w:rsidR="00F86A95" w:rsidRPr="009E674A">
        <w:rPr>
          <w:b/>
          <w:sz w:val="22"/>
          <w:szCs w:val="23"/>
          <w:u w:val="single"/>
          <w:lang w:val="es-CL"/>
        </w:rPr>
        <w:t xml:space="preserve"> sobre sustancias químicas </w:t>
      </w:r>
      <w:r w:rsidR="00516855" w:rsidRPr="009E674A">
        <w:rPr>
          <w:b/>
          <w:sz w:val="22"/>
          <w:szCs w:val="23"/>
          <w:u w:val="single"/>
          <w:lang w:val="es-CL"/>
        </w:rPr>
        <w:t xml:space="preserve">necesaria </w:t>
      </w:r>
      <w:r w:rsidR="00F86A95" w:rsidRPr="009E674A">
        <w:rPr>
          <w:b/>
          <w:sz w:val="22"/>
          <w:szCs w:val="23"/>
          <w:u w:val="single"/>
          <w:lang w:val="es-CL"/>
        </w:rPr>
        <w:t xml:space="preserve">para la aplicación del GHS en el país.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5"/>
        <w:gridCol w:w="1813"/>
        <w:gridCol w:w="4140"/>
        <w:gridCol w:w="1438"/>
        <w:gridCol w:w="843"/>
      </w:tblGrid>
      <w:tr w:rsidR="006720D8" w:rsidRPr="00804B0C" w:rsidTr="00C37B65">
        <w:tc>
          <w:tcPr>
            <w:tcW w:w="2149" w:type="dxa"/>
            <w:shd w:val="clear" w:color="auto" w:fill="94B6D2"/>
            <w:vAlign w:val="center"/>
          </w:tcPr>
          <w:p w:rsidR="006720D8" w:rsidRPr="00804B0C" w:rsidRDefault="006720D8" w:rsidP="00C37B65">
            <w:pPr>
              <w:spacing w:after="0" w:line="240" w:lineRule="auto"/>
              <w:jc w:val="center"/>
              <w:rPr>
                <w:b/>
                <w:bCs/>
                <w:color w:val="FFFFFF"/>
                <w:kern w:val="0"/>
                <w:sz w:val="20"/>
                <w:lang w:val="es-CL"/>
              </w:rPr>
            </w:pPr>
            <w:r w:rsidRPr="00804B0C">
              <w:rPr>
                <w:b/>
                <w:bCs/>
                <w:color w:val="FFFFFF"/>
                <w:kern w:val="0"/>
                <w:sz w:val="20"/>
                <w:lang w:val="es-CL"/>
              </w:rPr>
              <w:t>Objetivo Específico</w:t>
            </w:r>
          </w:p>
        </w:tc>
        <w:tc>
          <w:tcPr>
            <w:tcW w:w="2120" w:type="dxa"/>
            <w:shd w:val="clear" w:color="auto" w:fill="94B6D2"/>
            <w:vAlign w:val="center"/>
          </w:tcPr>
          <w:p w:rsidR="006720D8" w:rsidRPr="00804B0C" w:rsidRDefault="006720D8" w:rsidP="00C37B65">
            <w:pPr>
              <w:spacing w:after="0" w:line="240" w:lineRule="auto"/>
              <w:jc w:val="center"/>
              <w:rPr>
                <w:b/>
                <w:bCs/>
                <w:color w:val="FFFFFF"/>
                <w:kern w:val="0"/>
                <w:sz w:val="20"/>
                <w:lang w:val="es-CL"/>
              </w:rPr>
            </w:pPr>
            <w:r w:rsidRPr="00804B0C">
              <w:rPr>
                <w:b/>
                <w:bCs/>
                <w:color w:val="FFFFFF"/>
                <w:kern w:val="0"/>
                <w:sz w:val="20"/>
                <w:lang w:val="es-CL"/>
              </w:rPr>
              <w:t>Metas</w:t>
            </w:r>
          </w:p>
        </w:tc>
        <w:tc>
          <w:tcPr>
            <w:tcW w:w="7177" w:type="dxa"/>
            <w:shd w:val="clear" w:color="auto" w:fill="94B6D2"/>
            <w:vAlign w:val="center"/>
          </w:tcPr>
          <w:p w:rsidR="006720D8" w:rsidRPr="00804B0C" w:rsidRDefault="006720D8" w:rsidP="00C37B65">
            <w:pPr>
              <w:spacing w:after="0" w:line="240" w:lineRule="auto"/>
              <w:jc w:val="center"/>
              <w:rPr>
                <w:b/>
                <w:bCs/>
                <w:color w:val="FFFFFF"/>
                <w:kern w:val="0"/>
                <w:sz w:val="20"/>
                <w:lang w:val="es-CL"/>
              </w:rPr>
            </w:pPr>
            <w:r w:rsidRPr="00804B0C">
              <w:rPr>
                <w:b/>
                <w:bCs/>
                <w:color w:val="FFFFFF"/>
                <w:kern w:val="0"/>
                <w:sz w:val="20"/>
                <w:lang w:val="es-CL"/>
              </w:rPr>
              <w:t>Actividades</w:t>
            </w:r>
          </w:p>
        </w:tc>
        <w:tc>
          <w:tcPr>
            <w:tcW w:w="1278" w:type="dxa"/>
            <w:shd w:val="clear" w:color="auto" w:fill="94B6D2"/>
            <w:vAlign w:val="center"/>
          </w:tcPr>
          <w:p w:rsidR="006720D8" w:rsidRPr="00804B0C" w:rsidRDefault="006720D8" w:rsidP="00C37B65">
            <w:pPr>
              <w:spacing w:after="0" w:line="240" w:lineRule="auto"/>
              <w:jc w:val="center"/>
              <w:rPr>
                <w:b/>
                <w:bCs/>
                <w:color w:val="FFFFFF"/>
                <w:kern w:val="0"/>
                <w:sz w:val="20"/>
                <w:lang w:val="es-CL"/>
              </w:rPr>
            </w:pPr>
            <w:r w:rsidRPr="00804B0C">
              <w:rPr>
                <w:b/>
                <w:bCs/>
                <w:color w:val="FFFFFF"/>
                <w:kern w:val="0"/>
                <w:sz w:val="20"/>
                <w:lang w:val="es-CL"/>
              </w:rPr>
              <w:t>Responsable</w:t>
            </w:r>
          </w:p>
        </w:tc>
        <w:tc>
          <w:tcPr>
            <w:tcW w:w="992" w:type="dxa"/>
            <w:shd w:val="clear" w:color="auto" w:fill="94B6D2"/>
            <w:vAlign w:val="center"/>
          </w:tcPr>
          <w:p w:rsidR="006720D8" w:rsidRPr="00804B0C" w:rsidRDefault="006720D8" w:rsidP="00C37B65">
            <w:pPr>
              <w:spacing w:after="0" w:line="240" w:lineRule="auto"/>
              <w:jc w:val="center"/>
              <w:rPr>
                <w:b/>
                <w:bCs/>
                <w:color w:val="FFFFFF"/>
                <w:kern w:val="0"/>
                <w:sz w:val="20"/>
                <w:lang w:val="es-CL"/>
              </w:rPr>
            </w:pPr>
            <w:r w:rsidRPr="00804B0C">
              <w:rPr>
                <w:b/>
                <w:bCs/>
                <w:color w:val="FFFFFF"/>
                <w:kern w:val="0"/>
                <w:sz w:val="20"/>
                <w:lang w:val="es-CL"/>
              </w:rPr>
              <w:t>Plazo</w:t>
            </w:r>
          </w:p>
        </w:tc>
      </w:tr>
      <w:tr w:rsidR="006720D8" w:rsidRPr="00804B0C" w:rsidTr="00C37B65">
        <w:trPr>
          <w:trHeight w:val="1289"/>
        </w:trPr>
        <w:tc>
          <w:tcPr>
            <w:tcW w:w="2149" w:type="dxa"/>
          </w:tcPr>
          <w:p w:rsidR="006720D8" w:rsidRPr="00804B0C" w:rsidRDefault="006720D8" w:rsidP="00C37B65">
            <w:pPr>
              <w:spacing w:after="0" w:line="240" w:lineRule="auto"/>
              <w:rPr>
                <w:b/>
                <w:bCs/>
                <w:kern w:val="0"/>
                <w:sz w:val="20"/>
                <w:lang w:val="es-CL"/>
              </w:rPr>
            </w:pPr>
            <w:r w:rsidRPr="00804B0C">
              <w:rPr>
                <w:b/>
                <w:bCs/>
                <w:kern w:val="0"/>
                <w:sz w:val="20"/>
                <w:lang w:val="es-CL"/>
              </w:rPr>
              <w:t>1) Generación de base de datos sobre exportación e importación de sustancias químicas</w:t>
            </w:r>
          </w:p>
        </w:tc>
        <w:tc>
          <w:tcPr>
            <w:tcW w:w="2120" w:type="dxa"/>
          </w:tcPr>
          <w:p w:rsidR="006720D8" w:rsidRPr="00804B0C" w:rsidRDefault="006720D8" w:rsidP="00C37B65">
            <w:pPr>
              <w:spacing w:after="0" w:line="240" w:lineRule="auto"/>
              <w:rPr>
                <w:kern w:val="0"/>
                <w:sz w:val="20"/>
                <w:lang w:val="es-CL"/>
              </w:rPr>
            </w:pPr>
            <w:r w:rsidRPr="00804B0C">
              <w:rPr>
                <w:kern w:val="0"/>
                <w:sz w:val="20"/>
                <w:lang w:val="es-CL"/>
              </w:rPr>
              <w:t xml:space="preserve">1.1) Establecer sistema de </w:t>
            </w:r>
            <w:r>
              <w:rPr>
                <w:kern w:val="0"/>
                <w:sz w:val="20"/>
                <w:lang w:val="es-CL"/>
              </w:rPr>
              <w:t>levantamiento</w:t>
            </w:r>
            <w:r w:rsidRPr="00804B0C">
              <w:rPr>
                <w:kern w:val="0"/>
                <w:sz w:val="20"/>
                <w:lang w:val="es-CL"/>
              </w:rPr>
              <w:t xml:space="preserve"> de información</w:t>
            </w:r>
          </w:p>
        </w:tc>
        <w:tc>
          <w:tcPr>
            <w:tcW w:w="7177" w:type="dxa"/>
          </w:tcPr>
          <w:p w:rsidR="006720D8" w:rsidRPr="005B09F8" w:rsidRDefault="006720D8" w:rsidP="00C37B65">
            <w:pPr>
              <w:spacing w:after="0" w:line="240" w:lineRule="auto"/>
              <w:rPr>
                <w:kern w:val="0"/>
                <w:sz w:val="20"/>
                <w:lang w:val="es-CL"/>
              </w:rPr>
            </w:pPr>
            <w:r w:rsidRPr="00804B0C">
              <w:rPr>
                <w:kern w:val="0"/>
                <w:sz w:val="20"/>
                <w:lang w:val="es-CL"/>
              </w:rPr>
              <w:t>1.1.1)</w:t>
            </w:r>
            <w:r>
              <w:rPr>
                <w:kern w:val="0"/>
                <w:sz w:val="20"/>
                <w:lang w:val="es-CL"/>
              </w:rPr>
              <w:t xml:space="preserve"> Ge</w:t>
            </w:r>
            <w:r w:rsidRPr="005B09F8">
              <w:rPr>
                <w:kern w:val="0"/>
                <w:sz w:val="20"/>
                <w:lang w:val="es-CL"/>
              </w:rPr>
              <w:t>n</w:t>
            </w:r>
            <w:r>
              <w:rPr>
                <w:kern w:val="0"/>
                <w:sz w:val="20"/>
                <w:lang w:val="es-CL"/>
              </w:rPr>
              <w:t>erar un</w:t>
            </w:r>
            <w:r w:rsidRPr="005B09F8">
              <w:rPr>
                <w:kern w:val="0"/>
                <w:sz w:val="20"/>
                <w:lang w:val="es-CL"/>
              </w:rPr>
              <w:t xml:space="preserve"> sistema nacional</w:t>
            </w:r>
            <w:r>
              <w:rPr>
                <w:kern w:val="0"/>
                <w:sz w:val="20"/>
                <w:lang w:val="es-CL"/>
              </w:rPr>
              <w:t xml:space="preserve"> que consolide la información existente</w:t>
            </w:r>
            <w:r w:rsidRPr="005B09F8">
              <w:rPr>
                <w:kern w:val="0"/>
                <w:sz w:val="20"/>
                <w:lang w:val="es-CL"/>
              </w:rPr>
              <w:t xml:space="preserve"> (que incluya todos los sectores) de sustancias químicas peligrosas que ingresan y salen del país</w:t>
            </w:r>
          </w:p>
          <w:p w:rsidR="006720D8" w:rsidRPr="00804B0C" w:rsidRDefault="006720D8" w:rsidP="00C37B65">
            <w:pPr>
              <w:spacing w:after="0" w:line="240" w:lineRule="auto"/>
              <w:rPr>
                <w:b/>
                <w:bCs/>
                <w:kern w:val="0"/>
                <w:sz w:val="20"/>
                <w:lang w:val="es-CL"/>
              </w:rPr>
            </w:pPr>
          </w:p>
        </w:tc>
        <w:tc>
          <w:tcPr>
            <w:tcW w:w="1278" w:type="dxa"/>
          </w:tcPr>
          <w:p w:rsidR="006720D8" w:rsidRDefault="006720D8" w:rsidP="00C37B65">
            <w:pPr>
              <w:spacing w:after="0" w:line="240" w:lineRule="auto"/>
              <w:rPr>
                <w:kern w:val="0"/>
                <w:sz w:val="20"/>
                <w:lang w:val="es-CL"/>
              </w:rPr>
            </w:pPr>
            <w:r>
              <w:rPr>
                <w:kern w:val="0"/>
                <w:sz w:val="20"/>
                <w:lang w:val="es-CL"/>
              </w:rPr>
              <w:t>Ministerio de Salud</w:t>
            </w:r>
          </w:p>
          <w:p w:rsidR="006720D8" w:rsidRDefault="006720D8" w:rsidP="00C37B65">
            <w:pPr>
              <w:spacing w:after="0" w:line="240" w:lineRule="auto"/>
              <w:rPr>
                <w:kern w:val="0"/>
                <w:sz w:val="20"/>
                <w:lang w:val="es-CL"/>
              </w:rPr>
            </w:pPr>
            <w:r>
              <w:rPr>
                <w:kern w:val="0"/>
                <w:sz w:val="20"/>
                <w:lang w:val="es-CL"/>
              </w:rPr>
              <w:t>Ministerio de Medio Ambiente</w:t>
            </w:r>
          </w:p>
          <w:p w:rsidR="006720D8" w:rsidRDefault="006720D8" w:rsidP="00C37B65">
            <w:pPr>
              <w:spacing w:after="0" w:line="240" w:lineRule="auto"/>
              <w:rPr>
                <w:kern w:val="0"/>
                <w:sz w:val="20"/>
                <w:lang w:val="es-CL"/>
              </w:rPr>
            </w:pPr>
            <w:r>
              <w:rPr>
                <w:kern w:val="0"/>
                <w:sz w:val="20"/>
                <w:lang w:val="es-CL"/>
              </w:rPr>
              <w:t>SAG</w:t>
            </w:r>
          </w:p>
          <w:p w:rsidR="006720D8" w:rsidRPr="00804B0C" w:rsidRDefault="006720D8" w:rsidP="00C37B65">
            <w:pPr>
              <w:spacing w:after="0" w:line="240" w:lineRule="auto"/>
              <w:rPr>
                <w:b/>
                <w:bCs/>
                <w:kern w:val="0"/>
                <w:sz w:val="20"/>
                <w:lang w:val="es-CL"/>
              </w:rPr>
            </w:pPr>
            <w:r>
              <w:rPr>
                <w:kern w:val="0"/>
                <w:sz w:val="20"/>
                <w:lang w:val="es-CL"/>
              </w:rPr>
              <w:t>Aduana</w:t>
            </w:r>
          </w:p>
        </w:tc>
        <w:tc>
          <w:tcPr>
            <w:tcW w:w="992" w:type="dxa"/>
          </w:tcPr>
          <w:p w:rsidR="006720D8" w:rsidRPr="00804B0C" w:rsidRDefault="006720D8" w:rsidP="00C37B65">
            <w:pPr>
              <w:spacing w:after="0" w:line="240" w:lineRule="auto"/>
              <w:rPr>
                <w:kern w:val="0"/>
                <w:sz w:val="20"/>
                <w:lang w:val="es-CL"/>
              </w:rPr>
            </w:pPr>
            <w:r>
              <w:rPr>
                <w:kern w:val="0"/>
                <w:sz w:val="20"/>
                <w:lang w:val="es-CL"/>
              </w:rPr>
              <w:t>2016</w:t>
            </w:r>
          </w:p>
        </w:tc>
      </w:tr>
      <w:tr w:rsidR="006720D8" w:rsidRPr="00804B0C" w:rsidTr="00C37B65">
        <w:tc>
          <w:tcPr>
            <w:tcW w:w="2149" w:type="dxa"/>
          </w:tcPr>
          <w:p w:rsidR="006720D8" w:rsidRPr="00C25F91" w:rsidRDefault="006720D8" w:rsidP="00C37B65">
            <w:pPr>
              <w:spacing w:after="0" w:line="240" w:lineRule="auto"/>
              <w:rPr>
                <w:b/>
                <w:bCs/>
                <w:kern w:val="0"/>
                <w:sz w:val="20"/>
                <w:lang w:val="es-CL"/>
              </w:rPr>
            </w:pPr>
            <w:r>
              <w:rPr>
                <w:b/>
                <w:bCs/>
                <w:kern w:val="0"/>
                <w:sz w:val="20"/>
                <w:lang w:val="es-CL"/>
              </w:rPr>
              <w:t>2) Evaluar mecanismos de evaluación y registro de sustancias químicas (se exceptúan los plaguicidas)</w:t>
            </w:r>
          </w:p>
          <w:p w:rsidR="006720D8" w:rsidRPr="00804B0C" w:rsidRDefault="006720D8" w:rsidP="00C37B65">
            <w:pPr>
              <w:spacing w:after="0" w:line="240" w:lineRule="auto"/>
              <w:rPr>
                <w:b/>
                <w:bCs/>
                <w:strike/>
                <w:kern w:val="0"/>
                <w:sz w:val="20"/>
                <w:highlight w:val="yellow"/>
                <w:lang w:val="es-CL"/>
              </w:rPr>
            </w:pPr>
          </w:p>
        </w:tc>
        <w:tc>
          <w:tcPr>
            <w:tcW w:w="2120" w:type="dxa"/>
          </w:tcPr>
          <w:p w:rsidR="006720D8" w:rsidRPr="00C25F91" w:rsidRDefault="006720D8" w:rsidP="00C37B65">
            <w:pPr>
              <w:spacing w:after="0" w:line="240" w:lineRule="auto"/>
              <w:rPr>
                <w:sz w:val="20"/>
                <w:highlight w:val="yellow"/>
                <w:lang w:val="es-CL"/>
              </w:rPr>
            </w:pPr>
            <w:r w:rsidRPr="009D0988">
              <w:rPr>
                <w:kern w:val="0"/>
                <w:sz w:val="20"/>
                <w:lang w:val="es-CL"/>
              </w:rPr>
              <w:t>2.1) Analizar la necesidad de contar con un sistema de evaluación y registro de sustancias químicas</w:t>
            </w:r>
          </w:p>
        </w:tc>
        <w:tc>
          <w:tcPr>
            <w:tcW w:w="7177" w:type="dxa"/>
          </w:tcPr>
          <w:p w:rsidR="006720D8" w:rsidRPr="00F13083" w:rsidRDefault="006720D8" w:rsidP="00C37B65">
            <w:pPr>
              <w:spacing w:after="0" w:line="240" w:lineRule="auto"/>
              <w:rPr>
                <w:sz w:val="20"/>
                <w:lang w:val="es-CL"/>
              </w:rPr>
            </w:pPr>
            <w:r w:rsidRPr="00F13083">
              <w:rPr>
                <w:kern w:val="0"/>
                <w:sz w:val="20"/>
                <w:lang w:val="es-CL"/>
              </w:rPr>
              <w:t>2.1.1) Conocer sistemas de registro existentes en el país (sistemas de registro de plaguicidas)</w:t>
            </w:r>
            <w:r w:rsidRPr="00F13083">
              <w:rPr>
                <w:sz w:val="20"/>
                <w:lang w:val="es-CL"/>
              </w:rPr>
              <w:t xml:space="preserve"> </w:t>
            </w:r>
          </w:p>
          <w:p w:rsidR="006720D8" w:rsidRPr="00F13083" w:rsidRDefault="006720D8" w:rsidP="00C37B65">
            <w:pPr>
              <w:spacing w:after="0" w:line="240" w:lineRule="auto"/>
              <w:rPr>
                <w:kern w:val="0"/>
                <w:sz w:val="20"/>
                <w:lang w:val="es-CL"/>
              </w:rPr>
            </w:pPr>
            <w:r w:rsidRPr="00F13083">
              <w:rPr>
                <w:kern w:val="0"/>
                <w:sz w:val="20"/>
                <w:lang w:val="es-CL"/>
              </w:rPr>
              <w:t>2.1.2) Evaluar la aplicabilidad en otras sustancias y productos</w:t>
            </w:r>
          </w:p>
          <w:p w:rsidR="006720D8" w:rsidRDefault="006720D8" w:rsidP="00C37B65">
            <w:pPr>
              <w:spacing w:after="0" w:line="240" w:lineRule="auto"/>
              <w:rPr>
                <w:kern w:val="0"/>
                <w:sz w:val="20"/>
                <w:lang w:val="es-CL"/>
              </w:rPr>
            </w:pPr>
            <w:r>
              <w:rPr>
                <w:sz w:val="20"/>
                <w:lang w:val="es-CL"/>
              </w:rPr>
              <w:t>2.1.3)</w:t>
            </w:r>
            <w:r w:rsidRPr="00B653CB">
              <w:rPr>
                <w:kern w:val="0"/>
                <w:sz w:val="20"/>
                <w:lang w:val="es-CL"/>
              </w:rPr>
              <w:t xml:space="preserve"> Analizar falencias en la normativa actual sobre evaluación de productos químicos en los distintos sectores</w:t>
            </w:r>
          </w:p>
          <w:p w:rsidR="006720D8" w:rsidRDefault="006720D8" w:rsidP="00C37B65">
            <w:pPr>
              <w:spacing w:after="0" w:line="240" w:lineRule="auto"/>
              <w:rPr>
                <w:sz w:val="20"/>
                <w:lang w:val="es-CL"/>
              </w:rPr>
            </w:pPr>
            <w:r>
              <w:rPr>
                <w:kern w:val="0"/>
                <w:sz w:val="20"/>
                <w:lang w:val="es-CL"/>
              </w:rPr>
              <w:t xml:space="preserve">2.1.4) </w:t>
            </w:r>
            <w:r w:rsidRPr="00B653CB">
              <w:rPr>
                <w:kern w:val="0"/>
                <w:sz w:val="20"/>
                <w:lang w:val="es-CL"/>
              </w:rPr>
              <w:t>Identificar actores que tienen competencias para la evaluación de peligrosidad de productos</w:t>
            </w:r>
          </w:p>
          <w:p w:rsidR="006720D8" w:rsidRPr="00B653CB" w:rsidRDefault="006720D8" w:rsidP="00C37B65">
            <w:pPr>
              <w:spacing w:after="0" w:line="240" w:lineRule="auto"/>
              <w:rPr>
                <w:kern w:val="0"/>
                <w:sz w:val="20"/>
                <w:lang w:val="es-CL"/>
              </w:rPr>
            </w:pPr>
          </w:p>
          <w:p w:rsidR="006720D8" w:rsidRPr="00B653CB" w:rsidRDefault="006720D8" w:rsidP="00C37B65">
            <w:pPr>
              <w:spacing w:after="0" w:line="240" w:lineRule="auto"/>
              <w:rPr>
                <w:kern w:val="0"/>
                <w:sz w:val="20"/>
                <w:lang w:val="es-CL"/>
              </w:rPr>
            </w:pPr>
            <w:r w:rsidRPr="00B653CB">
              <w:rPr>
                <w:kern w:val="0"/>
                <w:sz w:val="20"/>
                <w:lang w:val="es-CL"/>
              </w:rPr>
              <w:t xml:space="preserve"> </w:t>
            </w:r>
          </w:p>
          <w:p w:rsidR="006720D8" w:rsidRPr="00C25F91" w:rsidRDefault="006720D8" w:rsidP="00C37B65">
            <w:pPr>
              <w:rPr>
                <w:kern w:val="0"/>
                <w:sz w:val="20"/>
                <w:highlight w:val="yellow"/>
                <w:lang w:val="es-CL"/>
              </w:rPr>
            </w:pPr>
          </w:p>
        </w:tc>
        <w:tc>
          <w:tcPr>
            <w:tcW w:w="1278" w:type="dxa"/>
          </w:tcPr>
          <w:p w:rsidR="006720D8" w:rsidRPr="00804B0C" w:rsidRDefault="006720D8" w:rsidP="00C37B65">
            <w:pPr>
              <w:spacing w:after="0" w:line="240" w:lineRule="auto"/>
              <w:rPr>
                <w:kern w:val="0"/>
                <w:sz w:val="20"/>
                <w:lang w:val="es-CL"/>
              </w:rPr>
            </w:pPr>
            <w:r>
              <w:rPr>
                <w:kern w:val="0"/>
                <w:sz w:val="20"/>
                <w:lang w:val="es-CL"/>
              </w:rPr>
              <w:t>Comité</w:t>
            </w:r>
          </w:p>
        </w:tc>
        <w:tc>
          <w:tcPr>
            <w:tcW w:w="992" w:type="dxa"/>
          </w:tcPr>
          <w:p w:rsidR="006720D8" w:rsidRPr="00804B0C" w:rsidRDefault="006720D8" w:rsidP="00C37B65">
            <w:pPr>
              <w:spacing w:after="0" w:line="240" w:lineRule="auto"/>
              <w:rPr>
                <w:kern w:val="0"/>
                <w:sz w:val="20"/>
                <w:lang w:val="es-CL"/>
              </w:rPr>
            </w:pPr>
            <w:r>
              <w:rPr>
                <w:kern w:val="0"/>
                <w:sz w:val="20"/>
                <w:lang w:val="es-CL"/>
              </w:rPr>
              <w:t>2016</w:t>
            </w:r>
          </w:p>
        </w:tc>
      </w:tr>
      <w:tr w:rsidR="006720D8" w:rsidRPr="00804B0C" w:rsidTr="00C37B65">
        <w:tc>
          <w:tcPr>
            <w:tcW w:w="2149" w:type="dxa"/>
          </w:tcPr>
          <w:p w:rsidR="006720D8" w:rsidRPr="00804B0C" w:rsidRDefault="006720D8" w:rsidP="00C37B65">
            <w:pPr>
              <w:spacing w:after="0" w:line="240" w:lineRule="auto"/>
              <w:rPr>
                <w:b/>
                <w:bCs/>
                <w:kern w:val="0"/>
                <w:sz w:val="20"/>
                <w:highlight w:val="yellow"/>
                <w:lang w:val="es-CL"/>
              </w:rPr>
            </w:pPr>
            <w:r>
              <w:rPr>
                <w:b/>
                <w:bCs/>
                <w:kern w:val="0"/>
                <w:sz w:val="20"/>
                <w:lang w:val="es-CL"/>
              </w:rPr>
              <w:t>3</w:t>
            </w:r>
            <w:r w:rsidRPr="00804B0C">
              <w:rPr>
                <w:b/>
                <w:bCs/>
                <w:kern w:val="0"/>
                <w:sz w:val="20"/>
                <w:lang w:val="es-CL"/>
              </w:rPr>
              <w:t xml:space="preserve">) </w:t>
            </w:r>
            <w:r w:rsidRPr="000776AF">
              <w:rPr>
                <w:b/>
                <w:bCs/>
                <w:kern w:val="0"/>
                <w:sz w:val="20"/>
                <w:lang w:val="es-CL"/>
              </w:rPr>
              <w:t xml:space="preserve">Actualización </w:t>
            </w:r>
            <w:r>
              <w:rPr>
                <w:b/>
                <w:bCs/>
                <w:kern w:val="0"/>
                <w:sz w:val="20"/>
                <w:lang w:val="es-CL"/>
              </w:rPr>
              <w:t>del</w:t>
            </w:r>
            <w:r w:rsidRPr="00804B0C">
              <w:rPr>
                <w:b/>
                <w:bCs/>
                <w:kern w:val="0"/>
                <w:sz w:val="20"/>
                <w:lang w:val="es-CL"/>
              </w:rPr>
              <w:t xml:space="preserve"> Perfil Químico Nacional</w:t>
            </w:r>
          </w:p>
        </w:tc>
        <w:tc>
          <w:tcPr>
            <w:tcW w:w="2120" w:type="dxa"/>
          </w:tcPr>
          <w:p w:rsidR="006720D8" w:rsidRPr="00804B0C" w:rsidRDefault="006720D8" w:rsidP="00C37B65">
            <w:pPr>
              <w:spacing w:after="0" w:line="240" w:lineRule="auto"/>
              <w:rPr>
                <w:kern w:val="0"/>
                <w:sz w:val="20"/>
                <w:lang w:val="es-ES"/>
              </w:rPr>
            </w:pPr>
            <w:r>
              <w:rPr>
                <w:kern w:val="0"/>
                <w:sz w:val="20"/>
                <w:lang w:val="es-ES"/>
              </w:rPr>
              <w:t>3</w:t>
            </w:r>
            <w:r w:rsidRPr="00804B0C">
              <w:rPr>
                <w:kern w:val="0"/>
                <w:sz w:val="20"/>
                <w:lang w:val="es-ES"/>
              </w:rPr>
              <w:t>.1) Obtener información actualizada sobre la gestión de sustancias química</w:t>
            </w:r>
          </w:p>
        </w:tc>
        <w:tc>
          <w:tcPr>
            <w:tcW w:w="7177" w:type="dxa"/>
          </w:tcPr>
          <w:p w:rsidR="006720D8" w:rsidRDefault="006720D8" w:rsidP="00C37B65">
            <w:pPr>
              <w:spacing w:after="0" w:line="240" w:lineRule="auto"/>
              <w:rPr>
                <w:kern w:val="0"/>
                <w:sz w:val="20"/>
                <w:lang w:val="es-CL"/>
              </w:rPr>
            </w:pPr>
            <w:r>
              <w:rPr>
                <w:kern w:val="0"/>
                <w:sz w:val="20"/>
                <w:lang w:val="es-CL"/>
              </w:rPr>
              <w:t>3</w:t>
            </w:r>
            <w:r w:rsidRPr="00804B0C">
              <w:rPr>
                <w:kern w:val="0"/>
                <w:sz w:val="20"/>
                <w:lang w:val="es-CL"/>
              </w:rPr>
              <w:t>.1.1) Conformar grupo de trabajo con representantes de distintas entidades gubernamentales</w:t>
            </w:r>
          </w:p>
          <w:p w:rsidR="006720D8" w:rsidRPr="00804B0C" w:rsidRDefault="006720D8" w:rsidP="00C37B65">
            <w:pPr>
              <w:spacing w:after="0" w:line="240" w:lineRule="auto"/>
              <w:rPr>
                <w:kern w:val="0"/>
                <w:sz w:val="20"/>
                <w:lang w:val="es-CL"/>
              </w:rPr>
            </w:pPr>
            <w:r>
              <w:rPr>
                <w:kern w:val="0"/>
                <w:sz w:val="20"/>
                <w:lang w:val="es-CL"/>
              </w:rPr>
              <w:t>3.1.2) Definir mecanismo y periodicidad de actualización</w:t>
            </w:r>
          </w:p>
          <w:p w:rsidR="006720D8" w:rsidRPr="00F13083" w:rsidRDefault="006720D8" w:rsidP="00C37B65">
            <w:pPr>
              <w:spacing w:after="0" w:line="240" w:lineRule="auto"/>
              <w:rPr>
                <w:kern w:val="0"/>
                <w:sz w:val="20"/>
                <w:lang w:val="es-CL"/>
              </w:rPr>
            </w:pPr>
            <w:r w:rsidRPr="00F13083">
              <w:rPr>
                <w:kern w:val="0"/>
                <w:sz w:val="20"/>
                <w:lang w:val="es-CL"/>
              </w:rPr>
              <w:t>3.1.3) Realizar revisión de Perfil Químico Nacional vigente analizando contenidos e identificando falencias de información</w:t>
            </w:r>
          </w:p>
          <w:p w:rsidR="006720D8" w:rsidRPr="00804B0C" w:rsidRDefault="006720D8" w:rsidP="00C37B65">
            <w:pPr>
              <w:spacing w:after="0" w:line="240" w:lineRule="auto"/>
              <w:rPr>
                <w:kern w:val="0"/>
                <w:sz w:val="20"/>
                <w:lang w:val="es-CL"/>
              </w:rPr>
            </w:pPr>
            <w:r>
              <w:rPr>
                <w:kern w:val="0"/>
                <w:sz w:val="20"/>
                <w:lang w:val="es-CL"/>
              </w:rPr>
              <w:t>3</w:t>
            </w:r>
            <w:r w:rsidRPr="00804B0C">
              <w:rPr>
                <w:kern w:val="0"/>
                <w:sz w:val="20"/>
                <w:lang w:val="es-CL"/>
              </w:rPr>
              <w:t>.1.</w:t>
            </w:r>
            <w:r>
              <w:rPr>
                <w:kern w:val="0"/>
                <w:sz w:val="20"/>
                <w:lang w:val="es-CL"/>
              </w:rPr>
              <w:t>4</w:t>
            </w:r>
            <w:r w:rsidRPr="00804B0C">
              <w:rPr>
                <w:kern w:val="0"/>
                <w:sz w:val="20"/>
                <w:lang w:val="es-CL"/>
              </w:rPr>
              <w:t>) Recopilar información desde representantes de distintas entidades sobre falencias detectadas</w:t>
            </w:r>
          </w:p>
        </w:tc>
        <w:tc>
          <w:tcPr>
            <w:tcW w:w="1278" w:type="dxa"/>
          </w:tcPr>
          <w:p w:rsidR="006720D8" w:rsidRPr="00804B0C" w:rsidRDefault="006720D8" w:rsidP="00C37B65">
            <w:pPr>
              <w:spacing w:after="0" w:line="240" w:lineRule="auto"/>
              <w:rPr>
                <w:kern w:val="0"/>
                <w:sz w:val="20"/>
                <w:lang w:val="es-CL"/>
              </w:rPr>
            </w:pPr>
            <w:r w:rsidRPr="00804B0C">
              <w:rPr>
                <w:kern w:val="0"/>
                <w:sz w:val="20"/>
                <w:lang w:val="es-CL"/>
              </w:rPr>
              <w:t>Ministerio de Medio Ambiente</w:t>
            </w:r>
            <w:r>
              <w:rPr>
                <w:kern w:val="0"/>
                <w:sz w:val="20"/>
                <w:lang w:val="es-CL"/>
              </w:rPr>
              <w:t xml:space="preserve"> </w:t>
            </w:r>
          </w:p>
        </w:tc>
        <w:tc>
          <w:tcPr>
            <w:tcW w:w="992" w:type="dxa"/>
          </w:tcPr>
          <w:p w:rsidR="006720D8" w:rsidRPr="00804B0C" w:rsidRDefault="006720D8" w:rsidP="00712CD9">
            <w:pPr>
              <w:spacing w:after="0" w:line="240" w:lineRule="auto"/>
              <w:rPr>
                <w:kern w:val="0"/>
                <w:sz w:val="20"/>
                <w:lang w:val="es-CL"/>
              </w:rPr>
            </w:pPr>
            <w:r>
              <w:rPr>
                <w:kern w:val="0"/>
                <w:sz w:val="20"/>
                <w:lang w:val="es-CL"/>
              </w:rPr>
              <w:t>201</w:t>
            </w:r>
            <w:r w:rsidR="00712CD9">
              <w:rPr>
                <w:kern w:val="0"/>
                <w:sz w:val="20"/>
                <w:lang w:val="es-CL"/>
              </w:rPr>
              <w:t>6</w:t>
            </w:r>
          </w:p>
        </w:tc>
      </w:tr>
      <w:tr w:rsidR="006720D8" w:rsidRPr="00804B0C" w:rsidTr="00C37B65">
        <w:tc>
          <w:tcPr>
            <w:tcW w:w="2149" w:type="dxa"/>
          </w:tcPr>
          <w:p w:rsidR="006720D8" w:rsidRPr="006C1DBD" w:rsidRDefault="006720D8" w:rsidP="00C37B65">
            <w:pPr>
              <w:spacing w:after="0" w:line="240" w:lineRule="auto"/>
              <w:rPr>
                <w:b/>
                <w:bCs/>
                <w:kern w:val="0"/>
                <w:sz w:val="20"/>
                <w:lang w:val="es-CL"/>
              </w:rPr>
            </w:pPr>
            <w:r w:rsidRPr="006C1DBD">
              <w:rPr>
                <w:b/>
                <w:bCs/>
                <w:kern w:val="0"/>
                <w:sz w:val="20"/>
                <w:lang w:val="es-CL"/>
              </w:rPr>
              <w:t xml:space="preserve">4) Contar con información de apoyo para la clasificación </w:t>
            </w:r>
          </w:p>
        </w:tc>
        <w:tc>
          <w:tcPr>
            <w:tcW w:w="2120" w:type="dxa"/>
          </w:tcPr>
          <w:p w:rsidR="006720D8" w:rsidRPr="006C1DBD" w:rsidRDefault="006720D8" w:rsidP="00C37B65">
            <w:pPr>
              <w:spacing w:after="0" w:line="240" w:lineRule="auto"/>
              <w:rPr>
                <w:kern w:val="0"/>
                <w:sz w:val="20"/>
                <w:lang w:val="es-CL"/>
              </w:rPr>
            </w:pPr>
            <w:r>
              <w:rPr>
                <w:kern w:val="0"/>
                <w:sz w:val="20"/>
              </w:rPr>
              <w:t>4</w:t>
            </w:r>
            <w:r w:rsidRPr="006C1DBD">
              <w:rPr>
                <w:kern w:val="0"/>
                <w:sz w:val="20"/>
              </w:rPr>
              <w:t>.</w:t>
            </w:r>
            <w:r>
              <w:rPr>
                <w:kern w:val="0"/>
                <w:sz w:val="20"/>
              </w:rPr>
              <w:t>1</w:t>
            </w:r>
            <w:r w:rsidRPr="006C1DBD">
              <w:rPr>
                <w:kern w:val="0"/>
                <w:sz w:val="20"/>
              </w:rPr>
              <w:t xml:space="preserve">) </w:t>
            </w:r>
            <w:r>
              <w:rPr>
                <w:kern w:val="0"/>
                <w:sz w:val="20"/>
              </w:rPr>
              <w:t xml:space="preserve">Mejorar la </w:t>
            </w:r>
            <w:r w:rsidRPr="006C1DBD">
              <w:rPr>
                <w:kern w:val="0"/>
                <w:sz w:val="20"/>
              </w:rPr>
              <w:t>información sobre peligros de sustancias químicas</w:t>
            </w:r>
          </w:p>
        </w:tc>
        <w:tc>
          <w:tcPr>
            <w:tcW w:w="7177" w:type="dxa"/>
          </w:tcPr>
          <w:p w:rsidR="006720D8" w:rsidRPr="006C1DBD" w:rsidRDefault="006720D8" w:rsidP="00C37B65">
            <w:pPr>
              <w:spacing w:after="0" w:line="240" w:lineRule="auto"/>
              <w:rPr>
                <w:kern w:val="0"/>
                <w:sz w:val="20"/>
                <w:lang w:val="es-CL"/>
              </w:rPr>
            </w:pPr>
            <w:r>
              <w:rPr>
                <w:kern w:val="0"/>
                <w:sz w:val="20"/>
                <w:lang w:val="es-CL"/>
              </w:rPr>
              <w:t>4.1</w:t>
            </w:r>
            <w:r w:rsidRPr="006C1DBD">
              <w:rPr>
                <w:kern w:val="0"/>
                <w:sz w:val="20"/>
                <w:lang w:val="es-CL"/>
              </w:rPr>
              <w:t>.1) Preparar listado con fuentes y bases de datos para apoyar la clasificación de sustancias químicas de acuerdo al GHS e incorporarlas a la página web nacional (</w:t>
            </w:r>
            <w:r w:rsidRPr="006C1DBD">
              <w:rPr>
                <w:color w:val="0070C0"/>
                <w:kern w:val="0"/>
                <w:sz w:val="20"/>
                <w:lang w:val="es-CL"/>
              </w:rPr>
              <w:t>www.ghs-chile.cl</w:t>
            </w:r>
            <w:r w:rsidRPr="006C1DBD">
              <w:rPr>
                <w:kern w:val="0"/>
                <w:sz w:val="20"/>
                <w:lang w:val="es-CL"/>
              </w:rPr>
              <w:t>)</w:t>
            </w:r>
          </w:p>
          <w:p w:rsidR="006720D8" w:rsidRPr="006C1DBD" w:rsidRDefault="006720D8" w:rsidP="00C37B65">
            <w:pPr>
              <w:spacing w:after="0" w:line="240" w:lineRule="auto"/>
              <w:rPr>
                <w:kern w:val="0"/>
                <w:sz w:val="20"/>
                <w:lang w:val="es-CL"/>
              </w:rPr>
            </w:pPr>
            <w:r>
              <w:rPr>
                <w:kern w:val="0"/>
                <w:sz w:val="20"/>
                <w:lang w:val="es-CL"/>
              </w:rPr>
              <w:t>4.1</w:t>
            </w:r>
            <w:r w:rsidRPr="006C1DBD">
              <w:rPr>
                <w:kern w:val="0"/>
                <w:sz w:val="20"/>
                <w:lang w:val="es-CL"/>
              </w:rPr>
              <w:t>.2) Establecer plataforma de colaboración con centros de información oficiales internacionales (referencia bases de datos internacionales como la Agencia Europea de Químicos (ECHA) o la de otros países)</w:t>
            </w:r>
          </w:p>
        </w:tc>
        <w:tc>
          <w:tcPr>
            <w:tcW w:w="1278" w:type="dxa"/>
          </w:tcPr>
          <w:p w:rsidR="006720D8" w:rsidRPr="00804B0C" w:rsidRDefault="006720D8" w:rsidP="00C37B65">
            <w:pPr>
              <w:spacing w:after="0" w:line="240" w:lineRule="auto"/>
              <w:rPr>
                <w:kern w:val="0"/>
                <w:sz w:val="20"/>
                <w:lang w:val="es-CL"/>
              </w:rPr>
            </w:pPr>
            <w:r>
              <w:rPr>
                <w:kern w:val="0"/>
                <w:sz w:val="20"/>
                <w:lang w:val="es-CL"/>
              </w:rPr>
              <w:t>Ministerio de Salud y Medio Ambiente</w:t>
            </w:r>
          </w:p>
        </w:tc>
        <w:tc>
          <w:tcPr>
            <w:tcW w:w="992" w:type="dxa"/>
          </w:tcPr>
          <w:p w:rsidR="006720D8" w:rsidRDefault="006720D8" w:rsidP="00712CD9">
            <w:pPr>
              <w:spacing w:after="0" w:line="240" w:lineRule="auto"/>
              <w:rPr>
                <w:kern w:val="0"/>
                <w:sz w:val="20"/>
                <w:lang w:val="es-CL"/>
              </w:rPr>
            </w:pPr>
            <w:r>
              <w:rPr>
                <w:kern w:val="0"/>
                <w:sz w:val="20"/>
                <w:lang w:val="es-CL"/>
              </w:rPr>
              <w:t>201</w:t>
            </w:r>
            <w:r w:rsidR="00712CD9">
              <w:rPr>
                <w:kern w:val="0"/>
                <w:sz w:val="20"/>
                <w:lang w:val="es-CL"/>
              </w:rPr>
              <w:t>6</w:t>
            </w:r>
          </w:p>
        </w:tc>
      </w:tr>
    </w:tbl>
    <w:p w:rsidR="00143F6C" w:rsidRDefault="00143F6C" w:rsidP="00606EAC">
      <w:pPr>
        <w:jc w:val="both"/>
        <w:rPr>
          <w:b/>
          <w:color w:val="0066FF"/>
          <w:sz w:val="22"/>
          <w:szCs w:val="22"/>
          <w:highlight w:val="yellow"/>
        </w:rPr>
      </w:pPr>
    </w:p>
    <w:p w:rsidR="006720D8" w:rsidRDefault="006720D8" w:rsidP="00606EAC">
      <w:pPr>
        <w:jc w:val="both"/>
        <w:rPr>
          <w:b/>
          <w:color w:val="0066FF"/>
          <w:sz w:val="22"/>
          <w:szCs w:val="22"/>
          <w:highlight w:val="yellow"/>
        </w:rPr>
      </w:pPr>
    </w:p>
    <w:p w:rsidR="006720D8" w:rsidRPr="00E551B0" w:rsidRDefault="006720D8" w:rsidP="00606EAC">
      <w:pPr>
        <w:jc w:val="both"/>
        <w:rPr>
          <w:b/>
          <w:color w:val="0066FF"/>
          <w:sz w:val="22"/>
          <w:szCs w:val="22"/>
          <w:highlight w:val="yellow"/>
        </w:rPr>
        <w:sectPr w:rsidR="006720D8" w:rsidRPr="00E551B0" w:rsidSect="006720D8">
          <w:pgSz w:w="12242" w:h="15842" w:code="1"/>
          <w:pgMar w:top="1145" w:right="1043" w:bottom="1145" w:left="1276" w:header="709" w:footer="709" w:gutter="0"/>
          <w:cols w:space="720"/>
          <w:titlePg/>
          <w:docGrid w:linePitch="360"/>
        </w:sectPr>
      </w:pPr>
    </w:p>
    <w:p w:rsidR="00B306DF" w:rsidRPr="00414FBF" w:rsidRDefault="00B306DF" w:rsidP="00270FA8">
      <w:pPr>
        <w:pStyle w:val="Heading2"/>
        <w:spacing w:before="0" w:after="180"/>
        <w:ind w:left="0" w:firstLine="0"/>
        <w:rPr>
          <w:lang w:val="es-CL"/>
        </w:rPr>
      </w:pPr>
      <w:bookmarkStart w:id="116" w:name="_Toc418168907"/>
      <w:r w:rsidRPr="00414FBF">
        <w:rPr>
          <w:lang w:val="es-CL"/>
        </w:rPr>
        <w:t xml:space="preserve">Actividades de </w:t>
      </w:r>
      <w:r w:rsidR="00DC4817">
        <w:t xml:space="preserve">difusión, </w:t>
      </w:r>
      <w:r w:rsidRPr="00414FBF">
        <w:rPr>
          <w:lang w:val="es-CL"/>
        </w:rPr>
        <w:t>sensibilización</w:t>
      </w:r>
      <w:r w:rsidR="00DC4817">
        <w:t xml:space="preserve"> y capacitación</w:t>
      </w:r>
      <w:bookmarkEnd w:id="116"/>
    </w:p>
    <w:p w:rsidR="00B306DF" w:rsidRPr="0035342E" w:rsidRDefault="00B306DF" w:rsidP="0073025D">
      <w:pPr>
        <w:pStyle w:val="CommentText"/>
        <w:spacing w:line="264" w:lineRule="auto"/>
        <w:jc w:val="both"/>
        <w:rPr>
          <w:sz w:val="22"/>
          <w:szCs w:val="22"/>
          <w:lang w:val="es-CL"/>
        </w:rPr>
      </w:pPr>
      <w:r w:rsidRPr="0073025D">
        <w:rPr>
          <w:sz w:val="22"/>
          <w:szCs w:val="22"/>
          <w:lang w:val="es-CL"/>
        </w:rPr>
        <w:t xml:space="preserve">Las actividades de </w:t>
      </w:r>
      <w:r w:rsidR="00DC4817">
        <w:rPr>
          <w:sz w:val="22"/>
          <w:szCs w:val="22"/>
        </w:rPr>
        <w:t xml:space="preserve">difusión, </w:t>
      </w:r>
      <w:r w:rsidRPr="0073025D">
        <w:rPr>
          <w:sz w:val="22"/>
          <w:szCs w:val="22"/>
          <w:lang w:val="es-CL"/>
        </w:rPr>
        <w:t>sensibilización</w:t>
      </w:r>
      <w:r w:rsidR="00DC4817">
        <w:rPr>
          <w:sz w:val="22"/>
          <w:szCs w:val="22"/>
        </w:rPr>
        <w:t xml:space="preserve"> y capacitación dirigidas hacia los</w:t>
      </w:r>
      <w:r w:rsidRPr="0073025D">
        <w:rPr>
          <w:sz w:val="22"/>
          <w:szCs w:val="22"/>
          <w:lang w:val="es-CL"/>
        </w:rPr>
        <w:t xml:space="preserve"> distintos </w:t>
      </w:r>
      <w:r w:rsidR="00DC4817">
        <w:rPr>
          <w:sz w:val="22"/>
          <w:szCs w:val="22"/>
        </w:rPr>
        <w:t>sectores</w:t>
      </w:r>
      <w:r w:rsidRPr="0073025D">
        <w:rPr>
          <w:sz w:val="22"/>
          <w:szCs w:val="22"/>
          <w:lang w:val="es-CL"/>
        </w:rPr>
        <w:t xml:space="preserve"> es un punto crítico para la implementación del GHS ya que éstas aumentan el entendimiento y relevancia de este sistema para la gestión segura de</w:t>
      </w:r>
      <w:r w:rsidR="00414FBF" w:rsidRPr="0073025D">
        <w:rPr>
          <w:sz w:val="22"/>
          <w:szCs w:val="22"/>
          <w:lang w:val="es-CL"/>
        </w:rPr>
        <w:t xml:space="preserve"> las</w:t>
      </w:r>
      <w:r w:rsidRPr="0073025D">
        <w:rPr>
          <w:sz w:val="22"/>
          <w:szCs w:val="22"/>
          <w:lang w:val="es-CL"/>
        </w:rPr>
        <w:t xml:space="preserve"> sustancias químicas. Estas actividades pue</w:t>
      </w:r>
      <w:r w:rsidR="0073025D" w:rsidRPr="0073025D">
        <w:rPr>
          <w:sz w:val="22"/>
          <w:szCs w:val="22"/>
          <w:lang w:val="es-CL"/>
        </w:rPr>
        <w:t xml:space="preserve">den abordarse en el corto plazo, una vez desarrollada la propuesta de reglamento donde se establece la forma efectiva que tendrá la implementación, con la idea que sean lo más eficaces posible. Se </w:t>
      </w:r>
      <w:r w:rsidRPr="0073025D">
        <w:rPr>
          <w:sz w:val="22"/>
          <w:szCs w:val="22"/>
          <w:lang w:val="es-CL"/>
        </w:rPr>
        <w:t>sugiere darle un enfoque dirigido a los actores y sectores que más lo necesiten en forma separada</w:t>
      </w:r>
      <w:r w:rsidRPr="0035342E">
        <w:rPr>
          <w:sz w:val="22"/>
          <w:szCs w:val="22"/>
          <w:lang w:val="es-CL"/>
        </w:rPr>
        <w:t xml:space="preserve"> de aquellos que tienen un grado de sensibilización sobre el tema más avanzado, de esta forma también, se haría un uso más óptimo de los recursos destinados. El encargado</w:t>
      </w:r>
      <w:r w:rsidR="00626CE6" w:rsidRPr="0035342E">
        <w:rPr>
          <w:sz w:val="22"/>
          <w:szCs w:val="22"/>
          <w:lang w:val="es-CL"/>
        </w:rPr>
        <w:t xml:space="preserve"> o responsable</w:t>
      </w:r>
      <w:r w:rsidRPr="0035342E">
        <w:rPr>
          <w:sz w:val="22"/>
          <w:szCs w:val="22"/>
          <w:lang w:val="es-CL"/>
        </w:rPr>
        <w:t xml:space="preserve"> de realizar estas actividades debe ser capaz de crear un programa de concienciación</w:t>
      </w:r>
      <w:r w:rsidR="00DC4817">
        <w:rPr>
          <w:sz w:val="22"/>
          <w:szCs w:val="22"/>
        </w:rPr>
        <w:t xml:space="preserve"> y capacitación</w:t>
      </w:r>
      <w:r w:rsidR="00A51795" w:rsidRPr="0035342E">
        <w:rPr>
          <w:sz w:val="22"/>
          <w:szCs w:val="22"/>
          <w:lang w:val="es-CL"/>
        </w:rPr>
        <w:t xml:space="preserve"> </w:t>
      </w:r>
      <w:r w:rsidR="008910B9" w:rsidRPr="0035342E">
        <w:rPr>
          <w:sz w:val="22"/>
          <w:szCs w:val="22"/>
          <w:lang w:val="es-CL"/>
        </w:rPr>
        <w:t>sobre</w:t>
      </w:r>
      <w:r w:rsidR="00471FF5" w:rsidRPr="0035342E">
        <w:rPr>
          <w:sz w:val="22"/>
          <w:szCs w:val="22"/>
          <w:lang w:val="es-CL"/>
        </w:rPr>
        <w:t xml:space="preserve"> el GHS</w:t>
      </w:r>
      <w:r w:rsidR="00626CE6" w:rsidRPr="0035342E">
        <w:rPr>
          <w:sz w:val="22"/>
          <w:szCs w:val="22"/>
          <w:lang w:val="es-CL"/>
        </w:rPr>
        <w:t>, identificar los grupos destinatarios y crear mensajes específicos dest</w:t>
      </w:r>
      <w:r w:rsidR="000C336B" w:rsidRPr="0035342E">
        <w:rPr>
          <w:sz w:val="22"/>
          <w:szCs w:val="22"/>
          <w:lang w:val="es-CL"/>
        </w:rPr>
        <w:t>inados a estos grupos, a trav</w:t>
      </w:r>
      <w:r w:rsidR="00075738" w:rsidRPr="0035342E">
        <w:rPr>
          <w:sz w:val="22"/>
          <w:szCs w:val="22"/>
          <w:lang w:val="es-CL"/>
        </w:rPr>
        <w:t>és de diversos medios (folletos, propaganda, medio de comunicación, sitios web, etc</w:t>
      </w:r>
      <w:r w:rsidR="00307A77" w:rsidRPr="0035342E">
        <w:rPr>
          <w:sz w:val="22"/>
          <w:szCs w:val="22"/>
          <w:lang w:val="es-CL"/>
        </w:rPr>
        <w:t>.</w:t>
      </w:r>
      <w:r w:rsidR="00075738" w:rsidRPr="0035342E">
        <w:rPr>
          <w:sz w:val="22"/>
          <w:szCs w:val="22"/>
          <w:lang w:val="es-CL"/>
        </w:rPr>
        <w:t>)</w:t>
      </w:r>
      <w:r w:rsidR="00307A77" w:rsidRPr="0035342E">
        <w:rPr>
          <w:sz w:val="22"/>
          <w:szCs w:val="22"/>
          <w:lang w:val="es-CL"/>
        </w:rPr>
        <w:t>.</w:t>
      </w:r>
    </w:p>
    <w:p w:rsidR="005912F0" w:rsidRDefault="000C336B" w:rsidP="00606EAC">
      <w:pPr>
        <w:jc w:val="both"/>
        <w:rPr>
          <w:sz w:val="22"/>
          <w:szCs w:val="22"/>
          <w:lang w:val="es-CL"/>
        </w:rPr>
      </w:pPr>
      <w:r w:rsidRPr="0035342E">
        <w:rPr>
          <w:sz w:val="22"/>
          <w:szCs w:val="22"/>
          <w:lang w:val="es-CL"/>
        </w:rPr>
        <w:t>Estas actividades no sólo deben ir enfocadas en el aspecto técnico, sino también en el aspecto jurídico, educando a las partes interesadas sobre los cambios propuestos en el marco legal para la aplicación del GHS para resolver posibles dudas.</w:t>
      </w:r>
    </w:p>
    <w:p w:rsidR="008910B9" w:rsidRPr="009E674A" w:rsidRDefault="009E674A" w:rsidP="00606EAC">
      <w:pPr>
        <w:jc w:val="both"/>
        <w:rPr>
          <w:b/>
          <w:sz w:val="22"/>
          <w:szCs w:val="22"/>
          <w:u w:val="single"/>
        </w:rPr>
      </w:pPr>
      <w:r w:rsidRPr="009E674A">
        <w:rPr>
          <w:b/>
          <w:sz w:val="22"/>
          <w:szCs w:val="22"/>
          <w:u w:val="single"/>
          <w:lang w:val="es-CL"/>
        </w:rPr>
        <w:t>Objetivo Estrat</w:t>
      </w:r>
      <w:r w:rsidRPr="009E674A">
        <w:rPr>
          <w:b/>
          <w:sz w:val="22"/>
          <w:szCs w:val="22"/>
          <w:u w:val="single"/>
        </w:rPr>
        <w:t>égico</w:t>
      </w:r>
      <w:r w:rsidR="008910B9" w:rsidRPr="009E674A">
        <w:rPr>
          <w:b/>
          <w:sz w:val="22"/>
          <w:szCs w:val="22"/>
          <w:u w:val="single"/>
          <w:lang w:val="es-CL"/>
        </w:rPr>
        <w:t xml:space="preserve"> 3: Desarrollar actividades de </w:t>
      </w:r>
      <w:r w:rsidR="00DC4817" w:rsidRPr="009E674A">
        <w:rPr>
          <w:b/>
          <w:sz w:val="22"/>
          <w:szCs w:val="22"/>
          <w:u w:val="single"/>
        </w:rPr>
        <w:t xml:space="preserve">difusión, </w:t>
      </w:r>
      <w:r w:rsidR="00DC4817" w:rsidRPr="009E674A">
        <w:rPr>
          <w:b/>
          <w:sz w:val="22"/>
          <w:szCs w:val="22"/>
          <w:u w:val="single"/>
          <w:lang w:val="es-CL"/>
        </w:rPr>
        <w:t>sensibilización y capacitaci</w:t>
      </w:r>
      <w:r w:rsidR="00DC4817" w:rsidRPr="009E674A">
        <w:rPr>
          <w:b/>
          <w:sz w:val="22"/>
          <w:szCs w:val="22"/>
          <w:u w:val="single"/>
        </w:rPr>
        <w:t>ón</w:t>
      </w:r>
      <w:r w:rsidR="00DC4817" w:rsidRPr="009E674A">
        <w:rPr>
          <w:b/>
          <w:sz w:val="22"/>
          <w:szCs w:val="22"/>
          <w:u w:val="single"/>
          <w:lang w:val="es-CL"/>
        </w:rPr>
        <w:t xml:space="preserve"> sobre el sistema GHS a los sectores p</w:t>
      </w:r>
      <w:r w:rsidR="00DC4817" w:rsidRPr="009E674A">
        <w:rPr>
          <w:b/>
          <w:sz w:val="22"/>
          <w:szCs w:val="22"/>
          <w:u w:val="single"/>
        </w:rPr>
        <w:t>úblico, privado, sociedad civil y trabajadores.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16"/>
        <w:gridCol w:w="1969"/>
        <w:gridCol w:w="3741"/>
        <w:gridCol w:w="1569"/>
        <w:gridCol w:w="924"/>
      </w:tblGrid>
      <w:tr w:rsidR="006720D8" w:rsidRPr="00804B0C" w:rsidTr="00C37B65">
        <w:tc>
          <w:tcPr>
            <w:tcW w:w="2125" w:type="dxa"/>
            <w:shd w:val="clear" w:color="auto" w:fill="94B6D2"/>
            <w:vAlign w:val="center"/>
          </w:tcPr>
          <w:p w:rsidR="006720D8" w:rsidRPr="00804B0C" w:rsidRDefault="006720D8" w:rsidP="00C37B65">
            <w:pPr>
              <w:spacing w:after="0" w:line="240" w:lineRule="auto"/>
              <w:jc w:val="center"/>
              <w:rPr>
                <w:b/>
                <w:bCs/>
                <w:color w:val="FFFFFF"/>
                <w:kern w:val="0"/>
                <w:sz w:val="20"/>
                <w:lang w:val="es-CL"/>
              </w:rPr>
            </w:pPr>
            <w:r w:rsidRPr="00804B0C">
              <w:rPr>
                <w:b/>
                <w:bCs/>
                <w:color w:val="FFFFFF"/>
                <w:kern w:val="0"/>
                <w:sz w:val="20"/>
                <w:lang w:val="es-CL"/>
              </w:rPr>
              <w:t>Objetivo Específico</w:t>
            </w:r>
          </w:p>
        </w:tc>
        <w:tc>
          <w:tcPr>
            <w:tcW w:w="2331" w:type="dxa"/>
            <w:shd w:val="clear" w:color="auto" w:fill="94B6D2"/>
            <w:vAlign w:val="center"/>
          </w:tcPr>
          <w:p w:rsidR="006720D8" w:rsidRPr="00804B0C" w:rsidRDefault="006720D8" w:rsidP="00C37B65">
            <w:pPr>
              <w:spacing w:after="0" w:line="240" w:lineRule="auto"/>
              <w:jc w:val="center"/>
              <w:rPr>
                <w:b/>
                <w:bCs/>
                <w:color w:val="FFFFFF"/>
                <w:kern w:val="0"/>
                <w:sz w:val="20"/>
                <w:lang w:val="es-CL"/>
              </w:rPr>
            </w:pPr>
            <w:r w:rsidRPr="00804B0C">
              <w:rPr>
                <w:b/>
                <w:bCs/>
                <w:color w:val="FFFFFF"/>
                <w:kern w:val="0"/>
                <w:sz w:val="20"/>
                <w:lang w:val="es-CL"/>
              </w:rPr>
              <w:t>Metas</w:t>
            </w:r>
          </w:p>
        </w:tc>
        <w:tc>
          <w:tcPr>
            <w:tcW w:w="6759" w:type="dxa"/>
            <w:shd w:val="clear" w:color="auto" w:fill="94B6D2"/>
            <w:vAlign w:val="center"/>
          </w:tcPr>
          <w:p w:rsidR="006720D8" w:rsidRPr="00804B0C" w:rsidRDefault="006720D8" w:rsidP="00C37B65">
            <w:pPr>
              <w:spacing w:after="0" w:line="240" w:lineRule="auto"/>
              <w:jc w:val="center"/>
              <w:rPr>
                <w:b/>
                <w:bCs/>
                <w:color w:val="FFFFFF"/>
                <w:kern w:val="0"/>
                <w:sz w:val="20"/>
                <w:lang w:val="es-CL"/>
              </w:rPr>
            </w:pPr>
            <w:r w:rsidRPr="00804B0C">
              <w:rPr>
                <w:b/>
                <w:bCs/>
                <w:color w:val="FFFFFF"/>
                <w:kern w:val="0"/>
                <w:sz w:val="20"/>
                <w:lang w:val="es-CL"/>
              </w:rPr>
              <w:t>Actividades</w:t>
            </w:r>
          </w:p>
        </w:tc>
        <w:tc>
          <w:tcPr>
            <w:tcW w:w="1435" w:type="dxa"/>
            <w:shd w:val="clear" w:color="auto" w:fill="94B6D2"/>
            <w:vAlign w:val="center"/>
          </w:tcPr>
          <w:p w:rsidR="006720D8" w:rsidRPr="00804B0C" w:rsidRDefault="006720D8" w:rsidP="00C37B65">
            <w:pPr>
              <w:spacing w:after="0" w:line="240" w:lineRule="auto"/>
              <w:jc w:val="center"/>
              <w:rPr>
                <w:b/>
                <w:bCs/>
                <w:color w:val="FFFFFF"/>
                <w:kern w:val="0"/>
                <w:sz w:val="20"/>
                <w:lang w:val="es-CL"/>
              </w:rPr>
            </w:pPr>
            <w:r w:rsidRPr="00804B0C">
              <w:rPr>
                <w:b/>
                <w:bCs/>
                <w:color w:val="FFFFFF"/>
                <w:kern w:val="0"/>
                <w:sz w:val="20"/>
                <w:lang w:val="es-CL"/>
              </w:rPr>
              <w:t>Responsable</w:t>
            </w:r>
          </w:p>
        </w:tc>
        <w:tc>
          <w:tcPr>
            <w:tcW w:w="1118" w:type="dxa"/>
            <w:shd w:val="clear" w:color="auto" w:fill="94B6D2"/>
            <w:vAlign w:val="center"/>
          </w:tcPr>
          <w:p w:rsidR="006720D8" w:rsidRPr="00804B0C" w:rsidRDefault="006720D8" w:rsidP="00C37B65">
            <w:pPr>
              <w:spacing w:after="0" w:line="240" w:lineRule="auto"/>
              <w:jc w:val="center"/>
              <w:rPr>
                <w:b/>
                <w:bCs/>
                <w:color w:val="FFFFFF"/>
                <w:kern w:val="0"/>
                <w:sz w:val="20"/>
                <w:lang w:val="es-CL"/>
              </w:rPr>
            </w:pPr>
            <w:r w:rsidRPr="00804B0C">
              <w:rPr>
                <w:b/>
                <w:bCs/>
                <w:color w:val="FFFFFF"/>
                <w:kern w:val="0"/>
                <w:sz w:val="20"/>
                <w:lang w:val="es-CL"/>
              </w:rPr>
              <w:t>Plazo</w:t>
            </w:r>
          </w:p>
        </w:tc>
      </w:tr>
      <w:tr w:rsidR="006720D8" w:rsidRPr="00804B0C" w:rsidTr="00C37B65">
        <w:trPr>
          <w:trHeight w:val="518"/>
        </w:trPr>
        <w:tc>
          <w:tcPr>
            <w:tcW w:w="2125" w:type="dxa"/>
            <w:vMerge w:val="restart"/>
          </w:tcPr>
          <w:p w:rsidR="006720D8" w:rsidRPr="00804B0C" w:rsidRDefault="006720D8" w:rsidP="00C37B65">
            <w:pPr>
              <w:spacing w:after="0" w:line="240" w:lineRule="auto"/>
              <w:rPr>
                <w:b/>
                <w:bCs/>
                <w:kern w:val="0"/>
                <w:sz w:val="20"/>
                <w:highlight w:val="yellow"/>
              </w:rPr>
            </w:pPr>
            <w:r>
              <w:rPr>
                <w:b/>
                <w:bCs/>
                <w:kern w:val="0"/>
                <w:sz w:val="20"/>
              </w:rPr>
              <w:t>1</w:t>
            </w:r>
            <w:r w:rsidRPr="00804B0C">
              <w:rPr>
                <w:b/>
                <w:bCs/>
                <w:kern w:val="0"/>
                <w:sz w:val="20"/>
              </w:rPr>
              <w:t>) Difusión sobre GHS</w:t>
            </w:r>
          </w:p>
        </w:tc>
        <w:tc>
          <w:tcPr>
            <w:tcW w:w="2331" w:type="dxa"/>
          </w:tcPr>
          <w:p w:rsidR="006720D8" w:rsidRPr="00804B0C" w:rsidRDefault="006720D8" w:rsidP="00C37B65">
            <w:pPr>
              <w:spacing w:after="0" w:line="240" w:lineRule="auto"/>
              <w:rPr>
                <w:kern w:val="0"/>
                <w:sz w:val="20"/>
                <w:lang w:val="es-ES"/>
              </w:rPr>
            </w:pPr>
            <w:r>
              <w:rPr>
                <w:kern w:val="0"/>
                <w:sz w:val="20"/>
              </w:rPr>
              <w:t>1</w:t>
            </w:r>
            <w:r w:rsidRPr="00804B0C">
              <w:rPr>
                <w:kern w:val="0"/>
                <w:sz w:val="20"/>
              </w:rPr>
              <w:t>.1</w:t>
            </w:r>
            <w:r w:rsidRPr="00804B0C">
              <w:rPr>
                <w:kern w:val="0"/>
                <w:sz w:val="20"/>
                <w:lang w:val="es-ES"/>
              </w:rPr>
              <w:t>) Difu</w:t>
            </w:r>
            <w:r>
              <w:rPr>
                <w:kern w:val="0"/>
                <w:sz w:val="20"/>
                <w:lang w:val="es-ES"/>
              </w:rPr>
              <w:t>ndir</w:t>
            </w:r>
            <w:r w:rsidRPr="00804B0C">
              <w:rPr>
                <w:kern w:val="0"/>
                <w:sz w:val="20"/>
                <w:lang w:val="es-ES"/>
              </w:rPr>
              <w:t xml:space="preserve"> información sobre </w:t>
            </w:r>
            <w:r>
              <w:rPr>
                <w:kern w:val="0"/>
                <w:sz w:val="20"/>
                <w:lang w:val="es-ES"/>
              </w:rPr>
              <w:t>el</w:t>
            </w:r>
            <w:r w:rsidRPr="00804B0C">
              <w:rPr>
                <w:kern w:val="0"/>
                <w:sz w:val="20"/>
                <w:lang w:val="es-ES"/>
              </w:rPr>
              <w:t xml:space="preserve"> GHS a todos los sectores y actores</w:t>
            </w:r>
          </w:p>
          <w:p w:rsidR="006720D8" w:rsidRPr="00804B0C" w:rsidRDefault="006720D8" w:rsidP="00C37B65">
            <w:pPr>
              <w:spacing w:after="0" w:line="240" w:lineRule="auto"/>
              <w:rPr>
                <w:kern w:val="0"/>
                <w:sz w:val="20"/>
                <w:lang w:val="es-ES"/>
              </w:rPr>
            </w:pPr>
          </w:p>
        </w:tc>
        <w:tc>
          <w:tcPr>
            <w:tcW w:w="6759" w:type="dxa"/>
          </w:tcPr>
          <w:p w:rsidR="006720D8" w:rsidRDefault="006720D8" w:rsidP="00C37B65">
            <w:pPr>
              <w:spacing w:after="0" w:line="240" w:lineRule="auto"/>
              <w:rPr>
                <w:kern w:val="0"/>
                <w:sz w:val="20"/>
                <w:lang w:val="es-CL"/>
              </w:rPr>
            </w:pPr>
            <w:r>
              <w:rPr>
                <w:kern w:val="0"/>
                <w:sz w:val="20"/>
                <w:lang w:val="es-ES"/>
              </w:rPr>
              <w:t>1</w:t>
            </w:r>
            <w:r w:rsidRPr="00804B0C">
              <w:rPr>
                <w:kern w:val="0"/>
                <w:sz w:val="20"/>
                <w:lang w:val="es-CL"/>
              </w:rPr>
              <w:t xml:space="preserve">.1.1) Actualizar permanentemente (mensual) página web </w:t>
            </w:r>
            <w:hyperlink r:id="rId40" w:history="1">
              <w:r w:rsidRPr="00804B0C">
                <w:rPr>
                  <w:rStyle w:val="Hyperlink"/>
                  <w:color w:val="0070C0"/>
                  <w:kern w:val="0"/>
                  <w:sz w:val="20"/>
                  <w:lang w:val="es-CL"/>
                </w:rPr>
                <w:t>www.ghs-chile.cl</w:t>
              </w:r>
            </w:hyperlink>
            <w:r w:rsidRPr="00804B0C">
              <w:rPr>
                <w:kern w:val="0"/>
                <w:sz w:val="20"/>
                <w:lang w:val="es-CL"/>
              </w:rPr>
              <w:t>. Incluir contador de visitas</w:t>
            </w:r>
            <w:r>
              <w:rPr>
                <w:kern w:val="0"/>
                <w:sz w:val="20"/>
                <w:lang w:val="es-CL"/>
              </w:rPr>
              <w:t xml:space="preserve"> e incorporar módulos específicos para cada sector</w:t>
            </w:r>
          </w:p>
          <w:p w:rsidR="006720D8" w:rsidRPr="00F13083" w:rsidRDefault="006720D8" w:rsidP="00C37B65">
            <w:pPr>
              <w:spacing w:after="0" w:line="240" w:lineRule="auto"/>
              <w:rPr>
                <w:kern w:val="0"/>
                <w:sz w:val="20"/>
                <w:lang w:val="es-CL"/>
              </w:rPr>
            </w:pPr>
            <w:r w:rsidRPr="00F13083">
              <w:rPr>
                <w:kern w:val="0"/>
                <w:sz w:val="20"/>
                <w:lang w:val="es-CL"/>
              </w:rPr>
              <w:t>1.1.2) Incluir en páginas web de los organismos involucrados en el GHS algún redireccionamiento a página oficial del GHS y de otros organismos internacionales relacionados con GHS</w:t>
            </w:r>
          </w:p>
          <w:p w:rsidR="006720D8" w:rsidRPr="00804B0C" w:rsidRDefault="006720D8" w:rsidP="00C37B65">
            <w:pPr>
              <w:spacing w:after="0" w:line="240" w:lineRule="auto"/>
              <w:rPr>
                <w:kern w:val="0"/>
                <w:sz w:val="20"/>
                <w:lang w:val="es-CL"/>
              </w:rPr>
            </w:pPr>
            <w:r>
              <w:rPr>
                <w:kern w:val="0"/>
                <w:sz w:val="20"/>
                <w:lang w:val="es-CL"/>
              </w:rPr>
              <w:t>1</w:t>
            </w:r>
            <w:r w:rsidRPr="00804B0C">
              <w:rPr>
                <w:kern w:val="0"/>
                <w:sz w:val="20"/>
                <w:lang w:val="es-CL"/>
              </w:rPr>
              <w:t>.1.3) Difundir continua y permanentemente las actividades realizadas y los avances (prensa, noticias de distintos sitios web del gobierno y de entidades involucradas</w:t>
            </w:r>
            <w:r>
              <w:rPr>
                <w:kern w:val="0"/>
                <w:sz w:val="20"/>
                <w:lang w:val="es-CL"/>
              </w:rPr>
              <w:t xml:space="preserve">, </w:t>
            </w:r>
            <w:r w:rsidRPr="00804B0C">
              <w:rPr>
                <w:kern w:val="0"/>
                <w:sz w:val="20"/>
                <w:lang w:val="es-CL"/>
              </w:rPr>
              <w:t>elaborar folletos y/o informes específicos para cada organización).</w:t>
            </w:r>
          </w:p>
          <w:p w:rsidR="006720D8" w:rsidRPr="00804B0C" w:rsidRDefault="006720D8" w:rsidP="00C37B65">
            <w:pPr>
              <w:spacing w:after="0" w:line="240" w:lineRule="auto"/>
              <w:rPr>
                <w:kern w:val="0"/>
                <w:sz w:val="20"/>
                <w:lang w:val="es-CL"/>
              </w:rPr>
            </w:pPr>
          </w:p>
        </w:tc>
        <w:tc>
          <w:tcPr>
            <w:tcW w:w="1435" w:type="dxa"/>
            <w:vMerge w:val="restart"/>
          </w:tcPr>
          <w:p w:rsidR="006720D8" w:rsidRDefault="006720D8" w:rsidP="00C37B65">
            <w:pPr>
              <w:spacing w:after="0" w:line="240" w:lineRule="auto"/>
              <w:rPr>
                <w:kern w:val="0"/>
                <w:sz w:val="20"/>
                <w:lang w:val="es-CL"/>
              </w:rPr>
            </w:pPr>
            <w:r>
              <w:rPr>
                <w:kern w:val="0"/>
                <w:sz w:val="20"/>
                <w:lang w:val="es-CL"/>
              </w:rPr>
              <w:t>Ministerio de Salud y</w:t>
            </w:r>
          </w:p>
          <w:p w:rsidR="006720D8" w:rsidRPr="00804B0C" w:rsidRDefault="006720D8" w:rsidP="00C37B65">
            <w:pPr>
              <w:spacing w:after="0" w:line="240" w:lineRule="auto"/>
              <w:rPr>
                <w:kern w:val="0"/>
                <w:sz w:val="20"/>
                <w:lang w:val="es-CL"/>
              </w:rPr>
            </w:pPr>
            <w:r>
              <w:rPr>
                <w:kern w:val="0"/>
                <w:sz w:val="20"/>
                <w:lang w:val="es-CL"/>
              </w:rPr>
              <w:t>Ministerio de Medio Ambiente</w:t>
            </w:r>
          </w:p>
        </w:tc>
        <w:tc>
          <w:tcPr>
            <w:tcW w:w="1118" w:type="dxa"/>
            <w:vMerge w:val="restart"/>
          </w:tcPr>
          <w:p w:rsidR="006720D8" w:rsidRPr="00804B0C" w:rsidRDefault="006720D8" w:rsidP="00C37B65">
            <w:pPr>
              <w:spacing w:after="0" w:line="240" w:lineRule="auto"/>
              <w:rPr>
                <w:kern w:val="0"/>
                <w:sz w:val="20"/>
                <w:lang w:val="es-CL"/>
              </w:rPr>
            </w:pPr>
            <w:r>
              <w:rPr>
                <w:kern w:val="0"/>
                <w:sz w:val="20"/>
                <w:lang w:val="es-CL"/>
              </w:rPr>
              <w:t>Desde 2015</w:t>
            </w:r>
          </w:p>
        </w:tc>
      </w:tr>
      <w:tr w:rsidR="006720D8" w:rsidRPr="00804B0C" w:rsidTr="00C37B65">
        <w:trPr>
          <w:trHeight w:val="517"/>
        </w:trPr>
        <w:tc>
          <w:tcPr>
            <w:tcW w:w="2125" w:type="dxa"/>
            <w:vMerge/>
          </w:tcPr>
          <w:p w:rsidR="006720D8" w:rsidRPr="00804B0C" w:rsidRDefault="006720D8" w:rsidP="00C37B65">
            <w:pPr>
              <w:spacing w:after="0" w:line="240" w:lineRule="auto"/>
              <w:rPr>
                <w:rFonts w:ascii="Calibri" w:hAnsi="Calibri" w:cs="Calibri"/>
                <w:b/>
                <w:bCs/>
                <w:kern w:val="0"/>
                <w:sz w:val="20"/>
                <w:highlight w:val="yellow"/>
              </w:rPr>
            </w:pPr>
          </w:p>
        </w:tc>
        <w:tc>
          <w:tcPr>
            <w:tcW w:w="2331" w:type="dxa"/>
          </w:tcPr>
          <w:p w:rsidR="006720D8" w:rsidRPr="00F13083" w:rsidRDefault="006720D8" w:rsidP="00C37B65">
            <w:pPr>
              <w:spacing w:after="0" w:line="240" w:lineRule="auto"/>
              <w:rPr>
                <w:kern w:val="0"/>
                <w:sz w:val="20"/>
                <w:lang w:val="es-ES"/>
              </w:rPr>
            </w:pPr>
            <w:r w:rsidRPr="00F13083">
              <w:rPr>
                <w:kern w:val="0"/>
                <w:sz w:val="20"/>
                <w:lang w:val="es-ES"/>
              </w:rPr>
              <w:t>1.2 ) Difundir información sobre Estrategia de Implementación del GHS</w:t>
            </w:r>
          </w:p>
        </w:tc>
        <w:tc>
          <w:tcPr>
            <w:tcW w:w="6759" w:type="dxa"/>
          </w:tcPr>
          <w:p w:rsidR="006720D8" w:rsidRPr="00F13083" w:rsidRDefault="006720D8" w:rsidP="00C37B65">
            <w:pPr>
              <w:spacing w:after="0" w:line="240" w:lineRule="auto"/>
              <w:rPr>
                <w:kern w:val="0"/>
                <w:sz w:val="20"/>
                <w:lang w:val="es-CL"/>
              </w:rPr>
            </w:pPr>
            <w:r w:rsidRPr="00F13083">
              <w:rPr>
                <w:kern w:val="0"/>
                <w:sz w:val="20"/>
                <w:lang w:val="es-ES"/>
              </w:rPr>
              <w:t>1</w:t>
            </w:r>
            <w:r w:rsidRPr="00F13083">
              <w:rPr>
                <w:kern w:val="0"/>
                <w:sz w:val="20"/>
                <w:lang w:val="es-CL"/>
              </w:rPr>
              <w:t>.2.1) Elaborar material y/o realizar talleres para informar a Sectores claves sobre detalles de la estrategia nacional de implementación del GHS</w:t>
            </w:r>
          </w:p>
          <w:p w:rsidR="006720D8" w:rsidRPr="00F13083" w:rsidRDefault="006720D8" w:rsidP="00C37B65">
            <w:pPr>
              <w:spacing w:after="0" w:line="240" w:lineRule="auto"/>
              <w:rPr>
                <w:kern w:val="0"/>
                <w:sz w:val="20"/>
                <w:lang w:val="es-CL"/>
              </w:rPr>
            </w:pPr>
          </w:p>
        </w:tc>
        <w:tc>
          <w:tcPr>
            <w:tcW w:w="1435" w:type="dxa"/>
            <w:vMerge/>
          </w:tcPr>
          <w:p w:rsidR="006720D8" w:rsidRPr="00804B0C" w:rsidRDefault="006720D8" w:rsidP="00C37B65">
            <w:pPr>
              <w:spacing w:after="0" w:line="240" w:lineRule="auto"/>
              <w:rPr>
                <w:rFonts w:ascii="Calibri" w:hAnsi="Calibri" w:cs="Calibri"/>
                <w:kern w:val="0"/>
                <w:sz w:val="20"/>
                <w:lang w:val="es-CL"/>
              </w:rPr>
            </w:pPr>
          </w:p>
        </w:tc>
        <w:tc>
          <w:tcPr>
            <w:tcW w:w="1118" w:type="dxa"/>
            <w:vMerge/>
          </w:tcPr>
          <w:p w:rsidR="006720D8" w:rsidRPr="00804B0C" w:rsidRDefault="006720D8" w:rsidP="00C37B65">
            <w:pPr>
              <w:spacing w:after="0" w:line="240" w:lineRule="auto"/>
              <w:rPr>
                <w:rFonts w:ascii="Calibri" w:hAnsi="Calibri" w:cs="Calibri"/>
                <w:kern w:val="0"/>
                <w:sz w:val="20"/>
                <w:lang w:val="es-CL"/>
              </w:rPr>
            </w:pPr>
          </w:p>
        </w:tc>
      </w:tr>
      <w:tr w:rsidR="006720D8" w:rsidRPr="00804B0C" w:rsidTr="00C37B65">
        <w:tc>
          <w:tcPr>
            <w:tcW w:w="2125" w:type="dxa"/>
            <w:vMerge w:val="restart"/>
          </w:tcPr>
          <w:p w:rsidR="006720D8" w:rsidRPr="00804B0C" w:rsidRDefault="006720D8" w:rsidP="00C37B65">
            <w:pPr>
              <w:spacing w:after="0" w:line="240" w:lineRule="auto"/>
              <w:rPr>
                <w:rFonts w:ascii="Calibri" w:hAnsi="Calibri" w:cs="Calibri"/>
                <w:b/>
                <w:bCs/>
                <w:kern w:val="0"/>
                <w:sz w:val="20"/>
                <w:lang w:val="es-CL"/>
              </w:rPr>
            </w:pPr>
            <w:r>
              <w:rPr>
                <w:b/>
                <w:bCs/>
                <w:kern w:val="0"/>
                <w:sz w:val="20"/>
                <w:lang w:val="es-CL"/>
              </w:rPr>
              <w:t>2</w:t>
            </w:r>
            <w:r w:rsidRPr="00804B0C">
              <w:rPr>
                <w:b/>
                <w:bCs/>
                <w:kern w:val="0"/>
                <w:sz w:val="20"/>
                <w:lang w:val="es-CL"/>
              </w:rPr>
              <w:t xml:space="preserve">) Elaborar programas y/o campañas </w:t>
            </w:r>
            <w:r>
              <w:rPr>
                <w:b/>
                <w:bCs/>
                <w:kern w:val="0"/>
                <w:sz w:val="20"/>
                <w:lang w:val="es-CL"/>
              </w:rPr>
              <w:t xml:space="preserve">sensibilización y </w:t>
            </w:r>
            <w:r w:rsidRPr="002F776D">
              <w:rPr>
                <w:b/>
                <w:bCs/>
                <w:kern w:val="0"/>
                <w:sz w:val="20"/>
                <w:lang w:val="es-CL"/>
              </w:rPr>
              <w:t>capacitación</w:t>
            </w:r>
            <w:r>
              <w:rPr>
                <w:b/>
                <w:bCs/>
                <w:kern w:val="0"/>
                <w:sz w:val="20"/>
                <w:lang w:val="es-CL"/>
              </w:rPr>
              <w:t xml:space="preserve"> </w:t>
            </w:r>
            <w:r w:rsidRPr="00804B0C">
              <w:rPr>
                <w:b/>
                <w:bCs/>
                <w:kern w:val="0"/>
                <w:sz w:val="20"/>
                <w:lang w:val="es-CL"/>
              </w:rPr>
              <w:t>de sobre GHS</w:t>
            </w:r>
          </w:p>
        </w:tc>
        <w:tc>
          <w:tcPr>
            <w:tcW w:w="2331" w:type="dxa"/>
          </w:tcPr>
          <w:p w:rsidR="006720D8" w:rsidRPr="00F13083" w:rsidRDefault="006720D8" w:rsidP="00C37B65">
            <w:pPr>
              <w:spacing w:after="0" w:line="240" w:lineRule="auto"/>
              <w:rPr>
                <w:kern w:val="0"/>
                <w:sz w:val="20"/>
                <w:lang w:val="es-CL"/>
              </w:rPr>
            </w:pPr>
            <w:r w:rsidRPr="00F13083">
              <w:rPr>
                <w:kern w:val="0"/>
                <w:sz w:val="20"/>
                <w:lang w:val="es-CL"/>
              </w:rPr>
              <w:t xml:space="preserve">2.1) Confeccionar programas de </w:t>
            </w:r>
            <w:r w:rsidRPr="00F13083">
              <w:rPr>
                <w:bCs/>
                <w:kern w:val="0"/>
                <w:sz w:val="20"/>
                <w:lang w:val="es-CL"/>
              </w:rPr>
              <w:t>sensibilización y capacitación, considerando herramientas que apunten a modificaciones conductuales</w:t>
            </w:r>
          </w:p>
        </w:tc>
        <w:tc>
          <w:tcPr>
            <w:tcW w:w="6759" w:type="dxa"/>
          </w:tcPr>
          <w:p w:rsidR="006720D8" w:rsidRPr="00F13083" w:rsidRDefault="006720D8" w:rsidP="00C37B65">
            <w:pPr>
              <w:spacing w:after="0" w:line="240" w:lineRule="auto"/>
              <w:rPr>
                <w:kern w:val="0"/>
                <w:sz w:val="20"/>
                <w:lang w:val="es-CL"/>
              </w:rPr>
            </w:pPr>
            <w:r w:rsidRPr="00F13083">
              <w:rPr>
                <w:kern w:val="0"/>
                <w:sz w:val="20"/>
                <w:lang w:val="es-CL"/>
              </w:rPr>
              <w:t>2.1.1) Definir programas para los distintos sectores: Industria, Agrícola, Transporte y Consumidores</w:t>
            </w:r>
          </w:p>
          <w:p w:rsidR="006720D8" w:rsidRPr="00F13083" w:rsidRDefault="006720D8" w:rsidP="00C37B65">
            <w:pPr>
              <w:spacing w:after="0" w:line="240" w:lineRule="auto"/>
              <w:rPr>
                <w:kern w:val="0"/>
                <w:sz w:val="20"/>
                <w:lang w:val="es-CL"/>
              </w:rPr>
            </w:pPr>
            <w:r w:rsidRPr="00F13083">
              <w:rPr>
                <w:kern w:val="0"/>
                <w:sz w:val="20"/>
                <w:lang w:val="es-CL"/>
              </w:rPr>
              <w:t>2.1.2) Establecer responsables de la ejecución de los programas</w:t>
            </w:r>
          </w:p>
          <w:p w:rsidR="006720D8" w:rsidRPr="00F13083" w:rsidRDefault="006720D8" w:rsidP="00C37B65">
            <w:pPr>
              <w:spacing w:after="0" w:line="240" w:lineRule="auto"/>
              <w:rPr>
                <w:kern w:val="0"/>
                <w:sz w:val="20"/>
                <w:lang w:val="es-CL"/>
              </w:rPr>
            </w:pPr>
            <w:r w:rsidRPr="00F13083">
              <w:rPr>
                <w:kern w:val="0"/>
                <w:sz w:val="20"/>
                <w:lang w:val="es-CL"/>
              </w:rPr>
              <w:t>2.1.3) Definir objetivos, actividades específicas y recursos necesarios</w:t>
            </w:r>
          </w:p>
        </w:tc>
        <w:tc>
          <w:tcPr>
            <w:tcW w:w="1435" w:type="dxa"/>
            <w:vMerge w:val="restart"/>
          </w:tcPr>
          <w:p w:rsidR="006720D8" w:rsidRPr="00804B0C" w:rsidRDefault="006720D8" w:rsidP="00C37B65">
            <w:pPr>
              <w:spacing w:after="0" w:line="240" w:lineRule="auto"/>
              <w:rPr>
                <w:kern w:val="0"/>
                <w:sz w:val="20"/>
                <w:lang w:val="es-CL"/>
              </w:rPr>
            </w:pPr>
            <w:r w:rsidRPr="00804B0C">
              <w:rPr>
                <w:kern w:val="0"/>
                <w:sz w:val="20"/>
                <w:lang w:val="es-CL"/>
              </w:rPr>
              <w:t xml:space="preserve">Comité </w:t>
            </w:r>
          </w:p>
        </w:tc>
        <w:tc>
          <w:tcPr>
            <w:tcW w:w="1118" w:type="dxa"/>
            <w:vMerge w:val="restart"/>
          </w:tcPr>
          <w:p w:rsidR="006720D8" w:rsidRPr="00804B0C" w:rsidRDefault="006720D8" w:rsidP="00C37B65">
            <w:pPr>
              <w:spacing w:after="0" w:line="240" w:lineRule="auto"/>
              <w:rPr>
                <w:rFonts w:ascii="Calibri" w:hAnsi="Calibri" w:cs="Calibri"/>
                <w:kern w:val="0"/>
                <w:sz w:val="20"/>
                <w:lang w:val="es-CL"/>
              </w:rPr>
            </w:pPr>
            <w:r>
              <w:rPr>
                <w:rFonts w:ascii="Calibri" w:hAnsi="Calibri" w:cs="Calibri"/>
                <w:kern w:val="0"/>
                <w:sz w:val="20"/>
                <w:lang w:val="es-CL"/>
              </w:rPr>
              <w:t>2016</w:t>
            </w:r>
          </w:p>
        </w:tc>
      </w:tr>
      <w:tr w:rsidR="006720D8" w:rsidRPr="00804B0C" w:rsidTr="00C37B65">
        <w:trPr>
          <w:trHeight w:val="510"/>
        </w:trPr>
        <w:tc>
          <w:tcPr>
            <w:tcW w:w="2125" w:type="dxa"/>
            <w:vMerge/>
          </w:tcPr>
          <w:p w:rsidR="006720D8" w:rsidRPr="00804B0C" w:rsidRDefault="006720D8" w:rsidP="00C37B65">
            <w:pPr>
              <w:spacing w:after="0" w:line="240" w:lineRule="auto"/>
              <w:rPr>
                <w:rFonts w:ascii="Calibri" w:hAnsi="Calibri" w:cs="Calibri"/>
                <w:b/>
                <w:bCs/>
                <w:kern w:val="0"/>
                <w:sz w:val="20"/>
                <w:lang w:val="es-CL"/>
              </w:rPr>
            </w:pPr>
          </w:p>
        </w:tc>
        <w:tc>
          <w:tcPr>
            <w:tcW w:w="2331" w:type="dxa"/>
          </w:tcPr>
          <w:p w:rsidR="006720D8" w:rsidRPr="005A58E4" w:rsidRDefault="006720D8" w:rsidP="00C37B65">
            <w:pPr>
              <w:spacing w:after="0" w:line="240" w:lineRule="auto"/>
              <w:rPr>
                <w:kern w:val="0"/>
                <w:sz w:val="20"/>
                <w:lang w:val="es-CL"/>
              </w:rPr>
            </w:pPr>
            <w:r w:rsidRPr="005A58E4">
              <w:rPr>
                <w:kern w:val="0"/>
                <w:sz w:val="20"/>
                <w:lang w:val="es-CL"/>
              </w:rPr>
              <w:t>2.2) Elaborar material específico según público objetivo</w:t>
            </w:r>
          </w:p>
        </w:tc>
        <w:tc>
          <w:tcPr>
            <w:tcW w:w="6759" w:type="dxa"/>
          </w:tcPr>
          <w:p w:rsidR="006720D8" w:rsidRPr="00804B0C" w:rsidRDefault="006720D8" w:rsidP="00C37B65">
            <w:pPr>
              <w:spacing w:after="0" w:line="240" w:lineRule="auto"/>
              <w:rPr>
                <w:kern w:val="0"/>
                <w:sz w:val="20"/>
                <w:lang w:val="es-CL"/>
              </w:rPr>
            </w:pPr>
            <w:r>
              <w:rPr>
                <w:kern w:val="0"/>
                <w:sz w:val="20"/>
                <w:lang w:val="es-CL"/>
              </w:rPr>
              <w:t>2</w:t>
            </w:r>
            <w:r w:rsidRPr="00804B0C">
              <w:rPr>
                <w:kern w:val="0"/>
                <w:sz w:val="20"/>
                <w:lang w:val="es-CL"/>
              </w:rPr>
              <w:t>.</w:t>
            </w:r>
            <w:r>
              <w:rPr>
                <w:kern w:val="0"/>
                <w:sz w:val="20"/>
                <w:lang w:val="es-CL"/>
              </w:rPr>
              <w:t>2</w:t>
            </w:r>
            <w:r w:rsidRPr="00804B0C">
              <w:rPr>
                <w:kern w:val="0"/>
                <w:sz w:val="20"/>
                <w:lang w:val="es-CL"/>
              </w:rPr>
              <w:t xml:space="preserve">.1) Confeccionar afiches con información sobre GHS para trabajadores de la industria </w:t>
            </w:r>
          </w:p>
          <w:p w:rsidR="006720D8" w:rsidRPr="00804B0C" w:rsidRDefault="006720D8" w:rsidP="00C37B65">
            <w:pPr>
              <w:spacing w:after="0" w:line="240" w:lineRule="auto"/>
              <w:rPr>
                <w:kern w:val="0"/>
                <w:sz w:val="20"/>
                <w:lang w:val="es-CL"/>
              </w:rPr>
            </w:pPr>
            <w:r>
              <w:rPr>
                <w:kern w:val="0"/>
                <w:sz w:val="20"/>
                <w:lang w:val="es-CL"/>
              </w:rPr>
              <w:t>2</w:t>
            </w:r>
            <w:r w:rsidRPr="00804B0C">
              <w:rPr>
                <w:kern w:val="0"/>
                <w:sz w:val="20"/>
                <w:lang w:val="es-CL"/>
              </w:rPr>
              <w:t>.</w:t>
            </w:r>
            <w:r>
              <w:rPr>
                <w:kern w:val="0"/>
                <w:sz w:val="20"/>
                <w:lang w:val="es-CL"/>
              </w:rPr>
              <w:t>2</w:t>
            </w:r>
            <w:r w:rsidRPr="00804B0C">
              <w:rPr>
                <w:kern w:val="0"/>
                <w:sz w:val="20"/>
                <w:lang w:val="es-CL"/>
              </w:rPr>
              <w:t>.2) Confeccionar folletos informativos enfocados en la Sociedad Civil (consumidores, juntas de vecinos, etc.)</w:t>
            </w:r>
          </w:p>
          <w:p w:rsidR="006720D8" w:rsidRDefault="006720D8" w:rsidP="00C37B65">
            <w:pPr>
              <w:spacing w:after="0" w:line="240" w:lineRule="auto"/>
              <w:rPr>
                <w:kern w:val="0"/>
                <w:sz w:val="20"/>
                <w:lang w:val="es-CL"/>
              </w:rPr>
            </w:pPr>
            <w:r>
              <w:rPr>
                <w:kern w:val="0"/>
                <w:sz w:val="20"/>
                <w:lang w:val="es-CL"/>
              </w:rPr>
              <w:t>2</w:t>
            </w:r>
            <w:r w:rsidRPr="00804B0C">
              <w:rPr>
                <w:kern w:val="0"/>
                <w:sz w:val="20"/>
                <w:lang w:val="es-CL"/>
              </w:rPr>
              <w:t>.</w:t>
            </w:r>
            <w:r>
              <w:rPr>
                <w:kern w:val="0"/>
                <w:sz w:val="20"/>
                <w:lang w:val="es-CL"/>
              </w:rPr>
              <w:t>2</w:t>
            </w:r>
            <w:r w:rsidRPr="00804B0C">
              <w:rPr>
                <w:kern w:val="0"/>
                <w:sz w:val="20"/>
                <w:lang w:val="es-CL"/>
              </w:rPr>
              <w:t>.3) Elaborar charlas informativas para colegio</w:t>
            </w:r>
            <w:r>
              <w:rPr>
                <w:kern w:val="0"/>
                <w:sz w:val="20"/>
                <w:lang w:val="es-CL"/>
              </w:rPr>
              <w:t>s y</w:t>
            </w:r>
            <w:r w:rsidRPr="00804B0C">
              <w:rPr>
                <w:kern w:val="0"/>
                <w:sz w:val="20"/>
                <w:lang w:val="es-CL"/>
              </w:rPr>
              <w:t xml:space="preserve"> universidades </w:t>
            </w:r>
          </w:p>
          <w:p w:rsidR="006720D8" w:rsidRPr="00804B0C" w:rsidRDefault="006720D8" w:rsidP="00C37B65">
            <w:pPr>
              <w:spacing w:after="0" w:line="240" w:lineRule="auto"/>
              <w:rPr>
                <w:kern w:val="0"/>
                <w:sz w:val="20"/>
                <w:lang w:val="es-CL"/>
              </w:rPr>
            </w:pPr>
            <w:r>
              <w:rPr>
                <w:kern w:val="0"/>
                <w:sz w:val="20"/>
                <w:lang w:val="es-CL"/>
              </w:rPr>
              <w:t>2</w:t>
            </w:r>
            <w:r w:rsidRPr="00804B0C">
              <w:rPr>
                <w:kern w:val="0"/>
                <w:sz w:val="20"/>
                <w:lang w:val="es-CL"/>
              </w:rPr>
              <w:t>.</w:t>
            </w:r>
            <w:r>
              <w:rPr>
                <w:kern w:val="0"/>
                <w:sz w:val="20"/>
                <w:lang w:val="es-CL"/>
              </w:rPr>
              <w:t>2</w:t>
            </w:r>
            <w:r w:rsidRPr="00804B0C">
              <w:rPr>
                <w:kern w:val="0"/>
                <w:sz w:val="20"/>
                <w:lang w:val="es-CL"/>
              </w:rPr>
              <w:t>.4) Elaborar seminarios dirigidos a productores e importadores y a usuarios de productos químicos</w:t>
            </w:r>
          </w:p>
          <w:p w:rsidR="006720D8" w:rsidRDefault="006720D8" w:rsidP="00C37B65">
            <w:pPr>
              <w:spacing w:after="0" w:line="240" w:lineRule="auto"/>
              <w:rPr>
                <w:kern w:val="0"/>
                <w:sz w:val="20"/>
                <w:lang w:val="es-CL"/>
              </w:rPr>
            </w:pPr>
            <w:r>
              <w:rPr>
                <w:kern w:val="0"/>
                <w:sz w:val="20"/>
                <w:lang w:val="es-CL"/>
              </w:rPr>
              <w:t>2</w:t>
            </w:r>
            <w:r w:rsidRPr="00804B0C">
              <w:rPr>
                <w:kern w:val="0"/>
                <w:sz w:val="20"/>
                <w:lang w:val="es-CL"/>
              </w:rPr>
              <w:t>.</w:t>
            </w:r>
            <w:r>
              <w:rPr>
                <w:kern w:val="0"/>
                <w:sz w:val="20"/>
                <w:lang w:val="es-CL"/>
              </w:rPr>
              <w:t>2</w:t>
            </w:r>
            <w:r w:rsidRPr="00804B0C">
              <w:rPr>
                <w:kern w:val="0"/>
                <w:sz w:val="20"/>
                <w:lang w:val="es-CL"/>
              </w:rPr>
              <w:t>.5) Diseñar campañas de difusión en prensa, televisión e inte</w:t>
            </w:r>
            <w:r w:rsidR="00A2364E">
              <w:rPr>
                <w:kern w:val="0"/>
                <w:sz w:val="20"/>
                <w:lang w:val="es-CL"/>
              </w:rPr>
              <w:t>rnet</w:t>
            </w:r>
          </w:p>
          <w:p w:rsidR="00A2364E" w:rsidRPr="00804B0C" w:rsidRDefault="00A2364E" w:rsidP="00C37B65">
            <w:pPr>
              <w:spacing w:after="0" w:line="240" w:lineRule="auto"/>
              <w:rPr>
                <w:kern w:val="0"/>
                <w:sz w:val="20"/>
                <w:lang w:val="es-CL"/>
              </w:rPr>
            </w:pPr>
          </w:p>
        </w:tc>
        <w:tc>
          <w:tcPr>
            <w:tcW w:w="1435" w:type="dxa"/>
            <w:vMerge/>
          </w:tcPr>
          <w:p w:rsidR="006720D8" w:rsidRPr="00804B0C" w:rsidRDefault="006720D8" w:rsidP="00C37B65">
            <w:pPr>
              <w:spacing w:after="0" w:line="240" w:lineRule="auto"/>
              <w:rPr>
                <w:rFonts w:ascii="Calibri" w:hAnsi="Calibri" w:cs="Calibri"/>
                <w:kern w:val="0"/>
                <w:sz w:val="20"/>
                <w:lang w:val="es-CL"/>
              </w:rPr>
            </w:pPr>
          </w:p>
        </w:tc>
        <w:tc>
          <w:tcPr>
            <w:tcW w:w="1118" w:type="dxa"/>
            <w:vMerge/>
          </w:tcPr>
          <w:p w:rsidR="006720D8" w:rsidRPr="00804B0C" w:rsidRDefault="006720D8" w:rsidP="00C37B65">
            <w:pPr>
              <w:spacing w:after="0" w:line="240" w:lineRule="auto"/>
              <w:rPr>
                <w:rFonts w:ascii="Calibri" w:hAnsi="Calibri" w:cs="Calibri"/>
                <w:kern w:val="0"/>
                <w:sz w:val="20"/>
                <w:lang w:val="es-CL"/>
              </w:rPr>
            </w:pPr>
          </w:p>
        </w:tc>
      </w:tr>
      <w:tr w:rsidR="006720D8" w:rsidRPr="00804B0C" w:rsidTr="00C37B65">
        <w:trPr>
          <w:trHeight w:val="510"/>
        </w:trPr>
        <w:tc>
          <w:tcPr>
            <w:tcW w:w="2125" w:type="dxa"/>
            <w:vMerge/>
          </w:tcPr>
          <w:p w:rsidR="006720D8" w:rsidRPr="00804B0C" w:rsidRDefault="006720D8" w:rsidP="00C37B65">
            <w:pPr>
              <w:spacing w:after="0" w:line="240" w:lineRule="auto"/>
              <w:rPr>
                <w:rFonts w:ascii="Calibri" w:hAnsi="Calibri" w:cs="Calibri"/>
                <w:b/>
                <w:bCs/>
                <w:kern w:val="0"/>
                <w:sz w:val="20"/>
                <w:lang w:val="es-CL"/>
              </w:rPr>
            </w:pPr>
          </w:p>
        </w:tc>
        <w:tc>
          <w:tcPr>
            <w:tcW w:w="2331" w:type="dxa"/>
          </w:tcPr>
          <w:p w:rsidR="006720D8" w:rsidRDefault="006720D8" w:rsidP="00C37B65">
            <w:pPr>
              <w:spacing w:after="0" w:line="240" w:lineRule="auto"/>
              <w:rPr>
                <w:kern w:val="0"/>
                <w:sz w:val="20"/>
                <w:lang w:val="es-CL"/>
              </w:rPr>
            </w:pPr>
            <w:r>
              <w:rPr>
                <w:kern w:val="0"/>
                <w:sz w:val="20"/>
                <w:lang w:val="es-CL"/>
              </w:rPr>
              <w:t xml:space="preserve">2.3) </w:t>
            </w:r>
            <w:r w:rsidRPr="007F0ED5">
              <w:rPr>
                <w:kern w:val="0"/>
                <w:sz w:val="20"/>
                <w:lang w:val="es-CL"/>
              </w:rPr>
              <w:t>Establecer un grupo de expertos para realización de cursos sobre GHS</w:t>
            </w:r>
          </w:p>
        </w:tc>
        <w:tc>
          <w:tcPr>
            <w:tcW w:w="6759" w:type="dxa"/>
          </w:tcPr>
          <w:p w:rsidR="006720D8" w:rsidRPr="00804B0C" w:rsidRDefault="006720D8" w:rsidP="00C37B65">
            <w:pPr>
              <w:spacing w:after="0" w:line="240" w:lineRule="auto"/>
              <w:rPr>
                <w:kern w:val="0"/>
                <w:sz w:val="20"/>
                <w:lang w:val="es-CL"/>
              </w:rPr>
            </w:pPr>
            <w:r>
              <w:rPr>
                <w:kern w:val="0"/>
                <w:sz w:val="20"/>
                <w:lang w:val="es-CL"/>
              </w:rPr>
              <w:t>2.3.1</w:t>
            </w:r>
            <w:r w:rsidRPr="00804B0C">
              <w:rPr>
                <w:kern w:val="0"/>
                <w:sz w:val="20"/>
                <w:lang w:val="es-CL"/>
              </w:rPr>
              <w:t>) Identificar y convocar a posibles interesados en capacitarse como expertos (preferentemente del sector industria)</w:t>
            </w:r>
          </w:p>
          <w:p w:rsidR="006720D8" w:rsidRPr="00804B0C" w:rsidRDefault="006720D8" w:rsidP="00C37B65">
            <w:pPr>
              <w:spacing w:after="0" w:line="240" w:lineRule="auto"/>
              <w:rPr>
                <w:kern w:val="0"/>
                <w:sz w:val="20"/>
                <w:lang w:val="es-CL"/>
              </w:rPr>
            </w:pPr>
            <w:r>
              <w:rPr>
                <w:kern w:val="0"/>
                <w:sz w:val="20"/>
                <w:lang w:val="es-CL"/>
              </w:rPr>
              <w:t>2.3</w:t>
            </w:r>
            <w:r w:rsidRPr="00804B0C">
              <w:rPr>
                <w:kern w:val="0"/>
                <w:sz w:val="20"/>
                <w:lang w:val="es-CL"/>
              </w:rPr>
              <w:t>.2) Solicitar apoyo a UNITAR para capacitar a interesados</w:t>
            </w:r>
          </w:p>
          <w:p w:rsidR="006720D8" w:rsidRPr="00804B0C" w:rsidRDefault="006720D8" w:rsidP="00C37B65">
            <w:pPr>
              <w:spacing w:after="0" w:line="240" w:lineRule="auto"/>
              <w:rPr>
                <w:kern w:val="0"/>
                <w:sz w:val="20"/>
                <w:lang w:val="es-CL"/>
              </w:rPr>
            </w:pPr>
            <w:r>
              <w:rPr>
                <w:kern w:val="0"/>
                <w:sz w:val="20"/>
                <w:lang w:val="es-CL"/>
              </w:rPr>
              <w:t>2.3.3</w:t>
            </w:r>
            <w:r w:rsidRPr="00804B0C">
              <w:rPr>
                <w:kern w:val="0"/>
                <w:sz w:val="20"/>
                <w:lang w:val="es-CL"/>
              </w:rPr>
              <w:t>) Facilitar herramientas financieras para formación de expertos</w:t>
            </w:r>
          </w:p>
        </w:tc>
        <w:tc>
          <w:tcPr>
            <w:tcW w:w="1435" w:type="dxa"/>
          </w:tcPr>
          <w:p w:rsidR="006720D8" w:rsidRPr="00804B0C" w:rsidRDefault="006720D8" w:rsidP="00C37B65">
            <w:pPr>
              <w:spacing w:after="0" w:line="240" w:lineRule="auto"/>
              <w:rPr>
                <w:rFonts w:ascii="Calibri" w:hAnsi="Calibri" w:cs="Calibri"/>
                <w:kern w:val="0"/>
                <w:sz w:val="20"/>
                <w:lang w:val="es-CL"/>
              </w:rPr>
            </w:pPr>
            <w:r w:rsidRPr="00804B0C">
              <w:rPr>
                <w:kern w:val="0"/>
                <w:sz w:val="20"/>
                <w:lang w:val="es-CL"/>
              </w:rPr>
              <w:t>Ministerio de Salud, Comité Coordinador</w:t>
            </w:r>
          </w:p>
        </w:tc>
        <w:tc>
          <w:tcPr>
            <w:tcW w:w="1118" w:type="dxa"/>
          </w:tcPr>
          <w:p w:rsidR="006720D8" w:rsidRPr="00804B0C" w:rsidRDefault="008C6524" w:rsidP="00C37B65">
            <w:pPr>
              <w:spacing w:after="0" w:line="240" w:lineRule="auto"/>
              <w:rPr>
                <w:rFonts w:ascii="Calibri" w:hAnsi="Calibri" w:cs="Calibri"/>
                <w:kern w:val="0"/>
                <w:sz w:val="20"/>
                <w:lang w:val="es-CL"/>
              </w:rPr>
            </w:pPr>
            <w:r>
              <w:rPr>
                <w:rFonts w:ascii="Calibri" w:hAnsi="Calibri" w:cs="Calibri"/>
                <w:kern w:val="0"/>
                <w:sz w:val="20"/>
                <w:lang w:val="es-CL"/>
              </w:rPr>
              <w:t>2016</w:t>
            </w:r>
          </w:p>
        </w:tc>
      </w:tr>
      <w:tr w:rsidR="006720D8" w:rsidRPr="00804B0C" w:rsidTr="00C37B65">
        <w:trPr>
          <w:trHeight w:val="510"/>
        </w:trPr>
        <w:tc>
          <w:tcPr>
            <w:tcW w:w="2125" w:type="dxa"/>
          </w:tcPr>
          <w:p w:rsidR="006720D8" w:rsidRPr="00804B0C" w:rsidRDefault="006720D8" w:rsidP="00C37B65">
            <w:pPr>
              <w:spacing w:after="0" w:line="240" w:lineRule="auto"/>
              <w:rPr>
                <w:rFonts w:ascii="Calibri" w:hAnsi="Calibri" w:cs="Calibri"/>
                <w:b/>
                <w:bCs/>
                <w:kern w:val="0"/>
                <w:sz w:val="20"/>
                <w:lang w:val="es-CL"/>
              </w:rPr>
            </w:pPr>
            <w:r w:rsidRPr="00754E7B">
              <w:rPr>
                <w:b/>
                <w:bCs/>
                <w:kern w:val="0"/>
                <w:sz w:val="20"/>
              </w:rPr>
              <w:t>3) Evaluar efectividad de programas de sensibilización y capacitación</w:t>
            </w:r>
          </w:p>
        </w:tc>
        <w:tc>
          <w:tcPr>
            <w:tcW w:w="2331" w:type="dxa"/>
          </w:tcPr>
          <w:p w:rsidR="006720D8" w:rsidRPr="00804B0C" w:rsidRDefault="006720D8" w:rsidP="00C37B65">
            <w:pPr>
              <w:spacing w:after="0" w:line="240" w:lineRule="auto"/>
              <w:rPr>
                <w:kern w:val="0"/>
                <w:sz w:val="20"/>
                <w:lang w:val="es-ES"/>
              </w:rPr>
            </w:pPr>
            <w:r>
              <w:rPr>
                <w:kern w:val="0"/>
                <w:sz w:val="20"/>
                <w:lang w:val="es-CL"/>
              </w:rPr>
              <w:t>3.1</w:t>
            </w:r>
            <w:r w:rsidRPr="00804B0C">
              <w:rPr>
                <w:kern w:val="0"/>
                <w:sz w:val="20"/>
                <w:lang w:val="es-CL"/>
              </w:rPr>
              <w:t xml:space="preserve">) Revisar la efectividad e impacto de </w:t>
            </w:r>
            <w:r>
              <w:rPr>
                <w:kern w:val="0"/>
                <w:sz w:val="20"/>
                <w:lang w:val="es-CL"/>
              </w:rPr>
              <w:t>programas sensibilización y capacitación</w:t>
            </w:r>
          </w:p>
        </w:tc>
        <w:tc>
          <w:tcPr>
            <w:tcW w:w="6759" w:type="dxa"/>
          </w:tcPr>
          <w:p w:rsidR="006720D8" w:rsidRPr="00804B0C" w:rsidRDefault="006720D8" w:rsidP="00C37B65">
            <w:pPr>
              <w:rPr>
                <w:kern w:val="0"/>
                <w:sz w:val="20"/>
                <w:lang w:val="es-CL"/>
              </w:rPr>
            </w:pPr>
            <w:r w:rsidRPr="00804B0C">
              <w:rPr>
                <w:kern w:val="0"/>
                <w:sz w:val="20"/>
                <w:lang w:val="es-CL"/>
              </w:rPr>
              <w:t>3.</w:t>
            </w:r>
            <w:r>
              <w:rPr>
                <w:kern w:val="0"/>
                <w:sz w:val="20"/>
                <w:lang w:val="es-CL"/>
              </w:rPr>
              <w:t>1</w:t>
            </w:r>
            <w:r w:rsidRPr="00804B0C">
              <w:rPr>
                <w:kern w:val="0"/>
                <w:sz w:val="20"/>
                <w:lang w:val="es-CL"/>
              </w:rPr>
              <w:t>.</w:t>
            </w:r>
            <w:r>
              <w:rPr>
                <w:kern w:val="0"/>
                <w:sz w:val="20"/>
                <w:lang w:val="es-CL"/>
              </w:rPr>
              <w:t>1</w:t>
            </w:r>
            <w:r w:rsidRPr="00804B0C">
              <w:rPr>
                <w:kern w:val="0"/>
                <w:sz w:val="20"/>
                <w:lang w:val="es-CL"/>
              </w:rPr>
              <w:t xml:space="preserve">) </w:t>
            </w:r>
            <w:r>
              <w:rPr>
                <w:kern w:val="0"/>
                <w:sz w:val="20"/>
                <w:lang w:val="es-CL"/>
              </w:rPr>
              <w:t xml:space="preserve">Elaborar indicadores para medir eficacia de los programas </w:t>
            </w:r>
          </w:p>
          <w:p w:rsidR="006720D8" w:rsidRPr="00804B0C" w:rsidRDefault="006720D8" w:rsidP="00C37B65">
            <w:pPr>
              <w:spacing w:after="0" w:line="240" w:lineRule="auto"/>
              <w:rPr>
                <w:kern w:val="0"/>
                <w:sz w:val="20"/>
                <w:lang w:val="es-CL"/>
              </w:rPr>
            </w:pPr>
            <w:r w:rsidRPr="00F13083">
              <w:rPr>
                <w:kern w:val="0"/>
                <w:sz w:val="20"/>
                <w:lang w:val="es-CL"/>
              </w:rPr>
              <w:t>3.1.2) Determinar fuentes de información para la construcción de los indicadores</w:t>
            </w:r>
          </w:p>
        </w:tc>
        <w:tc>
          <w:tcPr>
            <w:tcW w:w="1435" w:type="dxa"/>
          </w:tcPr>
          <w:p w:rsidR="006720D8" w:rsidRPr="00804B0C" w:rsidRDefault="006720D8" w:rsidP="00C37B65">
            <w:pPr>
              <w:spacing w:after="0" w:line="240" w:lineRule="auto"/>
              <w:rPr>
                <w:kern w:val="0"/>
                <w:sz w:val="20"/>
                <w:lang w:val="es-CL"/>
              </w:rPr>
            </w:pPr>
            <w:r>
              <w:rPr>
                <w:kern w:val="0"/>
                <w:sz w:val="20"/>
                <w:lang w:val="es-CL"/>
              </w:rPr>
              <w:t>Comité</w:t>
            </w:r>
          </w:p>
        </w:tc>
        <w:tc>
          <w:tcPr>
            <w:tcW w:w="1118" w:type="dxa"/>
          </w:tcPr>
          <w:p w:rsidR="006720D8" w:rsidRDefault="006720D8" w:rsidP="00C37B65">
            <w:pPr>
              <w:spacing w:after="0" w:line="240" w:lineRule="auto"/>
              <w:rPr>
                <w:rFonts w:ascii="Calibri" w:hAnsi="Calibri" w:cs="Calibri"/>
                <w:kern w:val="0"/>
                <w:sz w:val="20"/>
                <w:lang w:val="es-CL"/>
              </w:rPr>
            </w:pPr>
            <w:r>
              <w:rPr>
                <w:rFonts w:ascii="Calibri" w:hAnsi="Calibri" w:cs="Calibri"/>
                <w:kern w:val="0"/>
                <w:sz w:val="20"/>
                <w:lang w:val="es-CL"/>
              </w:rPr>
              <w:t>Desde 2016</w:t>
            </w:r>
          </w:p>
        </w:tc>
      </w:tr>
      <w:tr w:rsidR="006720D8" w:rsidRPr="00804B0C" w:rsidTr="00C37B65">
        <w:trPr>
          <w:trHeight w:val="510"/>
        </w:trPr>
        <w:tc>
          <w:tcPr>
            <w:tcW w:w="2125" w:type="dxa"/>
          </w:tcPr>
          <w:p w:rsidR="006720D8" w:rsidRPr="00804B0C" w:rsidRDefault="006720D8" w:rsidP="00C37B65">
            <w:pPr>
              <w:rPr>
                <w:b/>
                <w:bCs/>
                <w:kern w:val="0"/>
                <w:sz w:val="20"/>
                <w:highlight w:val="yellow"/>
              </w:rPr>
            </w:pPr>
            <w:r>
              <w:rPr>
                <w:b/>
                <w:bCs/>
                <w:kern w:val="0"/>
                <w:sz w:val="20"/>
              </w:rPr>
              <w:t>4</w:t>
            </w:r>
            <w:r w:rsidRPr="00804B0C">
              <w:rPr>
                <w:b/>
                <w:bCs/>
                <w:kern w:val="0"/>
                <w:sz w:val="20"/>
              </w:rPr>
              <w:t>) Incentivar la inclusión de formación del GHS en actividades de la Sociedad Civil</w:t>
            </w:r>
          </w:p>
        </w:tc>
        <w:tc>
          <w:tcPr>
            <w:tcW w:w="2331" w:type="dxa"/>
          </w:tcPr>
          <w:p w:rsidR="006720D8" w:rsidRPr="00804B0C" w:rsidRDefault="006720D8" w:rsidP="00C37B65">
            <w:pPr>
              <w:spacing w:after="0" w:line="240" w:lineRule="auto"/>
              <w:rPr>
                <w:kern w:val="0"/>
                <w:sz w:val="20"/>
              </w:rPr>
            </w:pPr>
            <w:r>
              <w:rPr>
                <w:kern w:val="0"/>
                <w:sz w:val="20"/>
              </w:rPr>
              <w:t>4</w:t>
            </w:r>
            <w:r w:rsidRPr="00804B0C">
              <w:rPr>
                <w:kern w:val="0"/>
                <w:sz w:val="20"/>
              </w:rPr>
              <w:t>.1) Promover la incorporación de temas relacionados con gestión segura de sustancias químicas en mallas curriculares (Universidades, etc.)</w:t>
            </w:r>
          </w:p>
        </w:tc>
        <w:tc>
          <w:tcPr>
            <w:tcW w:w="6759" w:type="dxa"/>
          </w:tcPr>
          <w:p w:rsidR="006720D8" w:rsidRPr="00804B0C" w:rsidRDefault="006720D8" w:rsidP="00C37B65">
            <w:pPr>
              <w:spacing w:after="0" w:line="240" w:lineRule="auto"/>
              <w:rPr>
                <w:kern w:val="0"/>
                <w:sz w:val="20"/>
                <w:lang w:val="es-CL"/>
              </w:rPr>
            </w:pPr>
            <w:r>
              <w:rPr>
                <w:kern w:val="0"/>
                <w:sz w:val="20"/>
                <w:lang w:val="es-CL"/>
              </w:rPr>
              <w:t>4</w:t>
            </w:r>
            <w:r w:rsidRPr="00804B0C">
              <w:rPr>
                <w:kern w:val="0"/>
                <w:sz w:val="20"/>
                <w:lang w:val="es-CL"/>
              </w:rPr>
              <w:t>.1.1) Establecer medios de cooperación entre el sector educacional y expertos en tema GHS</w:t>
            </w:r>
          </w:p>
          <w:p w:rsidR="006720D8" w:rsidRPr="00804B0C" w:rsidRDefault="006720D8" w:rsidP="00C37B65">
            <w:pPr>
              <w:spacing w:after="0" w:line="240" w:lineRule="auto"/>
              <w:rPr>
                <w:kern w:val="0"/>
                <w:sz w:val="20"/>
                <w:lang w:val="es-CL"/>
              </w:rPr>
            </w:pPr>
            <w:r>
              <w:rPr>
                <w:kern w:val="0"/>
                <w:sz w:val="20"/>
                <w:lang w:val="es-CL"/>
              </w:rPr>
              <w:t>4</w:t>
            </w:r>
            <w:r w:rsidRPr="00804B0C">
              <w:rPr>
                <w:kern w:val="0"/>
                <w:sz w:val="20"/>
                <w:lang w:val="es-CL"/>
              </w:rPr>
              <w:t>.1.2) Apoyar la realización de charlas y cursos en carreras relacionadas con la gestión de sustancias químicas</w:t>
            </w:r>
          </w:p>
          <w:p w:rsidR="006720D8" w:rsidRPr="00804B0C" w:rsidRDefault="006720D8" w:rsidP="00C37B65">
            <w:pPr>
              <w:spacing w:after="0" w:line="240" w:lineRule="auto"/>
              <w:rPr>
                <w:kern w:val="0"/>
                <w:sz w:val="20"/>
                <w:lang w:val="es-CL"/>
              </w:rPr>
            </w:pPr>
          </w:p>
          <w:p w:rsidR="006720D8" w:rsidRPr="00804B0C" w:rsidRDefault="006720D8" w:rsidP="00C37B65">
            <w:pPr>
              <w:spacing w:after="0" w:line="240" w:lineRule="auto"/>
              <w:rPr>
                <w:kern w:val="0"/>
                <w:sz w:val="20"/>
                <w:lang w:val="es-CL"/>
              </w:rPr>
            </w:pPr>
          </w:p>
          <w:p w:rsidR="006720D8" w:rsidRPr="00804B0C" w:rsidRDefault="006720D8" w:rsidP="00C37B65">
            <w:pPr>
              <w:spacing w:after="0" w:line="240" w:lineRule="auto"/>
              <w:rPr>
                <w:kern w:val="0"/>
                <w:sz w:val="20"/>
                <w:lang w:val="es-CL"/>
              </w:rPr>
            </w:pPr>
          </w:p>
        </w:tc>
        <w:tc>
          <w:tcPr>
            <w:tcW w:w="1435" w:type="dxa"/>
          </w:tcPr>
          <w:p w:rsidR="006720D8" w:rsidRPr="00804B0C" w:rsidRDefault="006720D8" w:rsidP="00C37B65">
            <w:pPr>
              <w:spacing w:after="0" w:line="240" w:lineRule="auto"/>
              <w:rPr>
                <w:kern w:val="0"/>
                <w:sz w:val="20"/>
                <w:lang w:val="es-CL"/>
              </w:rPr>
            </w:pPr>
            <w:r w:rsidRPr="00804B0C">
              <w:rPr>
                <w:kern w:val="0"/>
                <w:sz w:val="20"/>
                <w:lang w:val="es-CL"/>
              </w:rPr>
              <w:t>Gobierno Universidades</w:t>
            </w:r>
          </w:p>
        </w:tc>
        <w:tc>
          <w:tcPr>
            <w:tcW w:w="1118" w:type="dxa"/>
          </w:tcPr>
          <w:p w:rsidR="006720D8" w:rsidRPr="00804B0C" w:rsidRDefault="006720D8" w:rsidP="00C37B65">
            <w:pPr>
              <w:spacing w:after="0" w:line="240" w:lineRule="auto"/>
              <w:rPr>
                <w:rFonts w:ascii="Calibri" w:hAnsi="Calibri" w:cs="Calibri"/>
                <w:kern w:val="0"/>
                <w:sz w:val="20"/>
                <w:lang w:val="es-CL"/>
              </w:rPr>
            </w:pPr>
            <w:r>
              <w:rPr>
                <w:rFonts w:ascii="Calibri" w:hAnsi="Calibri" w:cs="Calibri"/>
                <w:kern w:val="0"/>
                <w:sz w:val="20"/>
                <w:lang w:val="es-CL"/>
              </w:rPr>
              <w:t>2015 - 2016</w:t>
            </w:r>
          </w:p>
        </w:tc>
      </w:tr>
    </w:tbl>
    <w:p w:rsidR="00DC4817" w:rsidRDefault="00DC4817" w:rsidP="00606EAC">
      <w:pPr>
        <w:jc w:val="both"/>
        <w:rPr>
          <w:b/>
          <w:sz w:val="22"/>
          <w:szCs w:val="22"/>
          <w:u w:val="single"/>
        </w:rPr>
      </w:pPr>
    </w:p>
    <w:p w:rsidR="00DC4817" w:rsidRPr="00DC4817" w:rsidRDefault="00DC4817" w:rsidP="00606EAC">
      <w:pPr>
        <w:jc w:val="both"/>
        <w:rPr>
          <w:b/>
          <w:sz w:val="22"/>
          <w:szCs w:val="22"/>
          <w:u w:val="single"/>
        </w:rPr>
      </w:pPr>
    </w:p>
    <w:p w:rsidR="00501645" w:rsidRPr="00E551B0" w:rsidRDefault="00501645" w:rsidP="00606EAC">
      <w:pPr>
        <w:jc w:val="both"/>
        <w:rPr>
          <w:sz w:val="22"/>
          <w:szCs w:val="22"/>
          <w:highlight w:val="yellow"/>
          <w:lang w:val="es-CL"/>
        </w:rPr>
      </w:pPr>
    </w:p>
    <w:p w:rsidR="00501645" w:rsidRPr="00E551B0" w:rsidRDefault="00501645" w:rsidP="00606EAC">
      <w:pPr>
        <w:jc w:val="both"/>
        <w:rPr>
          <w:sz w:val="22"/>
          <w:szCs w:val="22"/>
          <w:highlight w:val="yellow"/>
          <w:lang w:val="es-CL"/>
        </w:rPr>
      </w:pPr>
    </w:p>
    <w:p w:rsidR="00501645" w:rsidRPr="00E551B0" w:rsidRDefault="00501645" w:rsidP="00606EAC">
      <w:pPr>
        <w:jc w:val="both"/>
        <w:rPr>
          <w:sz w:val="22"/>
          <w:szCs w:val="22"/>
          <w:highlight w:val="yellow"/>
          <w:lang w:val="es-CL"/>
        </w:rPr>
      </w:pPr>
    </w:p>
    <w:p w:rsidR="00AA1F5B" w:rsidRPr="00E551B0" w:rsidRDefault="00AA1F5B" w:rsidP="00606EAC">
      <w:pPr>
        <w:rPr>
          <w:highlight w:val="yellow"/>
          <w:lang w:val="es-CL"/>
        </w:rPr>
        <w:sectPr w:rsidR="00AA1F5B" w:rsidRPr="00E551B0" w:rsidSect="006720D8">
          <w:pgSz w:w="12242" w:h="15842" w:code="1"/>
          <w:pgMar w:top="1145" w:right="1043" w:bottom="1145" w:left="1276" w:header="709" w:footer="709" w:gutter="0"/>
          <w:cols w:space="720"/>
          <w:titlePg/>
          <w:docGrid w:linePitch="360"/>
        </w:sectPr>
      </w:pPr>
    </w:p>
    <w:p w:rsidR="00B306DF" w:rsidRPr="003C6B32" w:rsidRDefault="00AC5D2E" w:rsidP="00270FA8">
      <w:pPr>
        <w:pStyle w:val="Heading2"/>
        <w:spacing w:before="0" w:after="180"/>
        <w:ind w:left="0" w:firstLine="0"/>
        <w:rPr>
          <w:lang w:val="es-CL"/>
        </w:rPr>
      </w:pPr>
      <w:bookmarkStart w:id="117" w:name="_Toc418168908"/>
      <w:r w:rsidRPr="003C6B32">
        <w:rPr>
          <w:lang w:val="es-CL"/>
        </w:rPr>
        <w:t xml:space="preserve">Desarrollo de capacidades </w:t>
      </w:r>
      <w:r w:rsidR="00D637E0" w:rsidRPr="003C6B32">
        <w:rPr>
          <w:lang w:val="es-CL"/>
        </w:rPr>
        <w:t>en función del</w:t>
      </w:r>
      <w:r w:rsidRPr="003C6B32">
        <w:rPr>
          <w:lang w:val="es-CL"/>
        </w:rPr>
        <w:t xml:space="preserve"> GHS</w:t>
      </w:r>
      <w:bookmarkEnd w:id="117"/>
    </w:p>
    <w:p w:rsidR="00172B00" w:rsidRPr="00270FA8" w:rsidRDefault="00CB3CA0" w:rsidP="00606EAC">
      <w:pPr>
        <w:jc w:val="both"/>
        <w:rPr>
          <w:sz w:val="22"/>
          <w:szCs w:val="22"/>
          <w:lang w:val="es-CL"/>
        </w:rPr>
      </w:pPr>
      <w:r w:rsidRPr="00270FA8">
        <w:rPr>
          <w:sz w:val="22"/>
          <w:szCs w:val="22"/>
          <w:lang w:val="es-CL"/>
        </w:rPr>
        <w:t>Esta actividad está enfocada en desarrollar capacidades para llevar a cabo la clasificación química de peligros y crear etiquetas en los casos donde un nuevo producto químico o formulación se desarrolla en el país o en aquellas industrias productoras de sustancias químicas.</w:t>
      </w:r>
    </w:p>
    <w:p w:rsidR="0056328E" w:rsidRPr="00DD046F" w:rsidRDefault="00CB3CA0" w:rsidP="00606EAC">
      <w:pPr>
        <w:autoSpaceDE w:val="0"/>
        <w:autoSpaceDN w:val="0"/>
        <w:adjustRightInd w:val="0"/>
        <w:jc w:val="both"/>
        <w:rPr>
          <w:kern w:val="0"/>
          <w:sz w:val="22"/>
          <w:szCs w:val="22"/>
        </w:rPr>
      </w:pPr>
      <w:r w:rsidRPr="00DD046F">
        <w:rPr>
          <w:sz w:val="22"/>
          <w:szCs w:val="22"/>
          <w:lang w:val="es-CL"/>
        </w:rPr>
        <w:t>En este caso, el objetivo es que el sector industria, como principal actor en la clasificación y comunicación de peligros, logre contar con personal capacitado para llevar a cabo la clasificación y etiquetado según los parámetros del GHS</w:t>
      </w:r>
      <w:r w:rsidR="001B550E" w:rsidRPr="00DD046F">
        <w:rPr>
          <w:sz w:val="22"/>
          <w:szCs w:val="22"/>
          <w:lang w:val="es-CL"/>
        </w:rPr>
        <w:t>, principalmente en las p</w:t>
      </w:r>
      <w:r w:rsidR="00801CF8" w:rsidRPr="00DD046F">
        <w:rPr>
          <w:sz w:val="22"/>
          <w:szCs w:val="22"/>
          <w:lang w:val="es-CL"/>
        </w:rPr>
        <w:t>ymes, donde se</w:t>
      </w:r>
      <w:r w:rsidR="009436B1" w:rsidRPr="00DD046F">
        <w:rPr>
          <w:sz w:val="22"/>
          <w:szCs w:val="22"/>
          <w:lang w:val="es-CL"/>
        </w:rPr>
        <w:t xml:space="preserve"> presentan mayores deficiencias</w:t>
      </w:r>
      <w:r w:rsidR="00B13130" w:rsidRPr="00DD046F">
        <w:rPr>
          <w:sz w:val="22"/>
          <w:szCs w:val="22"/>
          <w:lang w:val="es-CL"/>
        </w:rPr>
        <w:t>.</w:t>
      </w:r>
      <w:r w:rsidR="00B479A9" w:rsidRPr="00DD046F">
        <w:rPr>
          <w:sz w:val="22"/>
          <w:szCs w:val="22"/>
          <w:lang w:val="es-CL"/>
        </w:rPr>
        <w:t xml:space="preserve"> Además </w:t>
      </w:r>
      <w:r w:rsidR="009436B1" w:rsidRPr="00DD046F">
        <w:rPr>
          <w:sz w:val="22"/>
          <w:szCs w:val="22"/>
          <w:lang w:val="es-CL"/>
        </w:rPr>
        <w:t>de los cursos Básico y Avanzado que también aportan a la creación de capacidades</w:t>
      </w:r>
      <w:r w:rsidR="00B479A9" w:rsidRPr="00DD046F">
        <w:rPr>
          <w:sz w:val="22"/>
          <w:szCs w:val="22"/>
          <w:lang w:val="es-CL"/>
        </w:rPr>
        <w:t xml:space="preserve">, </w:t>
      </w:r>
      <w:r w:rsidR="009436B1" w:rsidRPr="00DD046F">
        <w:rPr>
          <w:sz w:val="22"/>
          <w:szCs w:val="22"/>
          <w:lang w:val="es-CL"/>
        </w:rPr>
        <w:t xml:space="preserve">se propone que </w:t>
      </w:r>
      <w:r w:rsidR="00B479A9" w:rsidRPr="00DD046F">
        <w:rPr>
          <w:sz w:val="22"/>
          <w:szCs w:val="22"/>
          <w:lang w:val="es-CL"/>
        </w:rPr>
        <w:t>las empresas que actualmente tienen acceso a apoyo técnico para el desarrollo de etiquetas y HDS podrían compartir y poner en disposición estos recursos a otras empresas que necesiten asistencia (colaboraci</w:t>
      </w:r>
      <w:r w:rsidR="009436B1" w:rsidRPr="00DD046F">
        <w:rPr>
          <w:sz w:val="22"/>
          <w:szCs w:val="22"/>
          <w:lang w:val="es-CL"/>
        </w:rPr>
        <w:t>ón intra</w:t>
      </w:r>
      <w:r w:rsidR="00B479A9" w:rsidRPr="00DD046F">
        <w:rPr>
          <w:sz w:val="22"/>
          <w:szCs w:val="22"/>
          <w:lang w:val="es-CL"/>
        </w:rPr>
        <w:t>sectorial)</w:t>
      </w:r>
      <w:r w:rsidR="0056328E" w:rsidRPr="00DD046F">
        <w:rPr>
          <w:sz w:val="22"/>
          <w:szCs w:val="22"/>
          <w:lang w:val="es-CL"/>
        </w:rPr>
        <w:t>.</w:t>
      </w:r>
    </w:p>
    <w:p w:rsidR="00B13130" w:rsidRPr="00270FA8" w:rsidRDefault="00B13130" w:rsidP="00606EAC">
      <w:pPr>
        <w:jc w:val="both"/>
        <w:rPr>
          <w:sz w:val="22"/>
          <w:szCs w:val="22"/>
          <w:lang w:val="es-CL"/>
        </w:rPr>
      </w:pPr>
      <w:r w:rsidRPr="00270FA8">
        <w:rPr>
          <w:sz w:val="22"/>
          <w:szCs w:val="22"/>
          <w:lang w:val="es-CL"/>
        </w:rPr>
        <w:t xml:space="preserve">En un aspecto más global, se propone incrementar las capacidades </w:t>
      </w:r>
      <w:r w:rsidR="00C078C9" w:rsidRPr="00270FA8">
        <w:rPr>
          <w:sz w:val="22"/>
          <w:szCs w:val="22"/>
          <w:lang w:val="es-CL"/>
        </w:rPr>
        <w:t xml:space="preserve">a nivel gubernamental </w:t>
      </w:r>
      <w:r w:rsidRPr="00270FA8">
        <w:rPr>
          <w:sz w:val="22"/>
          <w:szCs w:val="22"/>
          <w:lang w:val="es-CL"/>
        </w:rPr>
        <w:t>para fiscalizar el cumplimiento</w:t>
      </w:r>
      <w:r w:rsidR="007D272F" w:rsidRPr="00270FA8">
        <w:rPr>
          <w:sz w:val="22"/>
          <w:szCs w:val="22"/>
          <w:lang w:val="es-CL"/>
        </w:rPr>
        <w:t xml:space="preserve"> </w:t>
      </w:r>
      <w:r w:rsidR="00C078C9" w:rsidRPr="00270FA8">
        <w:rPr>
          <w:sz w:val="22"/>
          <w:szCs w:val="22"/>
          <w:lang w:val="es-CL"/>
        </w:rPr>
        <w:t>una vez implementado el sistema</w:t>
      </w:r>
      <w:r w:rsidRPr="00270FA8">
        <w:rPr>
          <w:sz w:val="22"/>
          <w:szCs w:val="22"/>
          <w:lang w:val="es-CL"/>
        </w:rPr>
        <w:t xml:space="preserve">, a través de un aumento en el personal y su formación técnica </w:t>
      </w:r>
      <w:r w:rsidR="00C078C9" w:rsidRPr="00270FA8">
        <w:rPr>
          <w:sz w:val="22"/>
          <w:szCs w:val="22"/>
          <w:lang w:val="es-CL"/>
        </w:rPr>
        <w:t>en el</w:t>
      </w:r>
      <w:r w:rsidRPr="00270FA8">
        <w:rPr>
          <w:sz w:val="22"/>
          <w:szCs w:val="22"/>
          <w:lang w:val="es-CL"/>
        </w:rPr>
        <w:t xml:space="preserve"> tema, y </w:t>
      </w:r>
      <w:r w:rsidR="00C078C9" w:rsidRPr="00270FA8">
        <w:rPr>
          <w:sz w:val="22"/>
          <w:szCs w:val="22"/>
          <w:lang w:val="es-CL"/>
        </w:rPr>
        <w:t>de</w:t>
      </w:r>
      <w:r w:rsidRPr="00270FA8">
        <w:rPr>
          <w:sz w:val="22"/>
          <w:szCs w:val="22"/>
          <w:lang w:val="es-CL"/>
        </w:rPr>
        <w:t xml:space="preserve"> la capacidad </w:t>
      </w:r>
      <w:r w:rsidR="00E93AD3" w:rsidRPr="00270FA8">
        <w:rPr>
          <w:sz w:val="22"/>
          <w:szCs w:val="22"/>
          <w:lang w:val="es-CL"/>
        </w:rPr>
        <w:t xml:space="preserve">de la infraestructura </w:t>
      </w:r>
      <w:r w:rsidRPr="00270FA8">
        <w:rPr>
          <w:sz w:val="22"/>
          <w:szCs w:val="22"/>
          <w:lang w:val="es-CL"/>
        </w:rPr>
        <w:t>técnica del país a largo p</w:t>
      </w:r>
      <w:r w:rsidR="00F106E2" w:rsidRPr="00270FA8">
        <w:rPr>
          <w:sz w:val="22"/>
          <w:szCs w:val="22"/>
          <w:lang w:val="es-CL"/>
        </w:rPr>
        <w:t>lazo, en caso que la demanda para</w:t>
      </w:r>
      <w:r w:rsidRPr="00270FA8">
        <w:rPr>
          <w:sz w:val="22"/>
          <w:szCs w:val="22"/>
          <w:lang w:val="es-CL"/>
        </w:rPr>
        <w:t xml:space="preserve"> evaluar los peligros de nuevas sustancias así lo requiera. </w:t>
      </w:r>
      <w:r w:rsidR="00E11286" w:rsidRPr="00270FA8">
        <w:rPr>
          <w:sz w:val="22"/>
          <w:szCs w:val="22"/>
          <w:lang w:val="es-CL"/>
        </w:rPr>
        <w:t xml:space="preserve">No obstante esto, </w:t>
      </w:r>
      <w:r w:rsidR="00E11286" w:rsidRPr="00270FA8">
        <w:rPr>
          <w:kern w:val="0"/>
          <w:sz w:val="22"/>
          <w:szCs w:val="22"/>
        </w:rPr>
        <w:t>a la espera de que se desarrollen las capacidades en Chile se puede trabajar en identificar y establecer instituciones acreditadas en el país y región para el desarrollo de HDS y clasificación de sustancias puras y mezclas (debieran ser laboratorios acreditados, por ejemplo de la International Laboratory Accreditation Cooperation (ILAC) o de la Asia-Pacific Laboratory Accreditation Cooperation (APLAC).</w:t>
      </w:r>
    </w:p>
    <w:p w:rsidR="008B23D5" w:rsidRPr="00E551B0" w:rsidRDefault="008B23D5" w:rsidP="00606EAC">
      <w:pPr>
        <w:jc w:val="both"/>
        <w:rPr>
          <w:highlight w:val="yellow"/>
          <w:lang w:val="es-CL"/>
        </w:rPr>
      </w:pPr>
    </w:p>
    <w:p w:rsidR="008A2641" w:rsidRPr="00E551B0" w:rsidRDefault="008A2641" w:rsidP="00606EAC">
      <w:pPr>
        <w:jc w:val="both"/>
        <w:rPr>
          <w:b/>
          <w:highlight w:val="yellow"/>
          <w:u w:val="single"/>
          <w:lang w:val="es-CL"/>
        </w:rPr>
        <w:sectPr w:rsidR="008A2641" w:rsidRPr="00E551B0" w:rsidSect="00AA1F5B">
          <w:pgSz w:w="12242" w:h="15842" w:code="1"/>
          <w:pgMar w:top="1145" w:right="1043" w:bottom="1145" w:left="1276" w:header="709" w:footer="709" w:gutter="0"/>
          <w:cols w:space="720"/>
          <w:titlePg/>
          <w:docGrid w:linePitch="360"/>
        </w:sectPr>
      </w:pPr>
    </w:p>
    <w:p w:rsidR="00B24B60" w:rsidRPr="007A5389" w:rsidRDefault="007A5389" w:rsidP="00606EAC">
      <w:pPr>
        <w:jc w:val="both"/>
        <w:rPr>
          <w:b/>
          <w:sz w:val="22"/>
          <w:szCs w:val="22"/>
          <w:u w:val="single"/>
          <w:lang w:val="es-CL"/>
        </w:rPr>
      </w:pPr>
      <w:r w:rsidRPr="007A5389">
        <w:rPr>
          <w:b/>
          <w:sz w:val="22"/>
          <w:szCs w:val="22"/>
          <w:u w:val="single"/>
          <w:lang w:val="es-CL"/>
        </w:rPr>
        <w:t>Objetivo Estrat</w:t>
      </w:r>
      <w:r w:rsidRPr="007A5389">
        <w:rPr>
          <w:b/>
          <w:sz w:val="22"/>
          <w:szCs w:val="22"/>
          <w:u w:val="single"/>
        </w:rPr>
        <w:t>égico</w:t>
      </w:r>
      <w:r w:rsidRPr="007A5389">
        <w:rPr>
          <w:b/>
          <w:sz w:val="22"/>
          <w:szCs w:val="22"/>
          <w:u w:val="single"/>
          <w:lang w:val="es-CL"/>
        </w:rPr>
        <w:t xml:space="preserve"> 4</w:t>
      </w:r>
      <w:r w:rsidR="00E82EFC" w:rsidRPr="007A5389">
        <w:rPr>
          <w:b/>
          <w:sz w:val="22"/>
          <w:szCs w:val="22"/>
          <w:u w:val="single"/>
          <w:lang w:val="es-CL"/>
        </w:rPr>
        <w:t>:</w:t>
      </w:r>
      <w:r w:rsidR="00A54808" w:rsidRPr="007A5389">
        <w:rPr>
          <w:b/>
          <w:sz w:val="22"/>
          <w:szCs w:val="22"/>
          <w:u w:val="single"/>
          <w:lang w:val="es-CL"/>
        </w:rPr>
        <w:t xml:space="preserve"> </w:t>
      </w:r>
      <w:r w:rsidR="00B24B60" w:rsidRPr="007A5389">
        <w:rPr>
          <w:b/>
          <w:sz w:val="22"/>
          <w:szCs w:val="22"/>
          <w:u w:val="single"/>
          <w:lang w:val="es-CL"/>
        </w:rPr>
        <w:t>Desarrollar y mejorar capacidades en la clasificación de productos químicos, generación de HDS y etiquetas según GHS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9"/>
        <w:gridCol w:w="1842"/>
        <w:gridCol w:w="3845"/>
        <w:gridCol w:w="1569"/>
        <w:gridCol w:w="884"/>
      </w:tblGrid>
      <w:tr w:rsidR="006720D8" w:rsidRPr="00804B0C" w:rsidTr="00C37B65">
        <w:tc>
          <w:tcPr>
            <w:tcW w:w="2123" w:type="dxa"/>
            <w:shd w:val="clear" w:color="auto" w:fill="94B6D2"/>
            <w:vAlign w:val="center"/>
          </w:tcPr>
          <w:p w:rsidR="006720D8" w:rsidRPr="00804B0C" w:rsidRDefault="006720D8" w:rsidP="00C37B65">
            <w:pPr>
              <w:spacing w:after="0" w:line="240" w:lineRule="auto"/>
              <w:jc w:val="center"/>
              <w:rPr>
                <w:b/>
                <w:bCs/>
                <w:color w:val="FFFFFF"/>
                <w:kern w:val="0"/>
                <w:sz w:val="20"/>
                <w:lang w:val="es-CL"/>
              </w:rPr>
            </w:pPr>
            <w:r w:rsidRPr="00804B0C">
              <w:rPr>
                <w:b/>
                <w:bCs/>
                <w:color w:val="FFFFFF"/>
                <w:kern w:val="0"/>
                <w:sz w:val="20"/>
                <w:lang w:val="es-CL"/>
              </w:rPr>
              <w:t>Objetivo Específico</w:t>
            </w:r>
          </w:p>
        </w:tc>
        <w:tc>
          <w:tcPr>
            <w:tcW w:w="2199" w:type="dxa"/>
            <w:shd w:val="clear" w:color="auto" w:fill="94B6D2"/>
            <w:vAlign w:val="center"/>
          </w:tcPr>
          <w:p w:rsidR="006720D8" w:rsidRPr="00804B0C" w:rsidRDefault="006720D8" w:rsidP="00C37B65">
            <w:pPr>
              <w:spacing w:after="0" w:line="240" w:lineRule="auto"/>
              <w:jc w:val="center"/>
              <w:rPr>
                <w:b/>
                <w:bCs/>
                <w:color w:val="FFFFFF"/>
                <w:kern w:val="0"/>
                <w:sz w:val="20"/>
                <w:lang w:val="es-CL"/>
              </w:rPr>
            </w:pPr>
            <w:r w:rsidRPr="00804B0C">
              <w:rPr>
                <w:b/>
                <w:bCs/>
                <w:color w:val="FFFFFF"/>
                <w:kern w:val="0"/>
                <w:sz w:val="20"/>
                <w:lang w:val="es-CL"/>
              </w:rPr>
              <w:t>Metas</w:t>
            </w:r>
          </w:p>
        </w:tc>
        <w:tc>
          <w:tcPr>
            <w:tcW w:w="6758" w:type="dxa"/>
            <w:shd w:val="clear" w:color="auto" w:fill="94B6D2"/>
            <w:vAlign w:val="center"/>
          </w:tcPr>
          <w:p w:rsidR="006720D8" w:rsidRPr="00804B0C" w:rsidRDefault="006720D8" w:rsidP="00C37B65">
            <w:pPr>
              <w:spacing w:after="0" w:line="240" w:lineRule="auto"/>
              <w:jc w:val="center"/>
              <w:rPr>
                <w:b/>
                <w:bCs/>
                <w:color w:val="FFFFFF"/>
                <w:kern w:val="0"/>
                <w:sz w:val="20"/>
                <w:lang w:val="es-CL"/>
              </w:rPr>
            </w:pPr>
            <w:r w:rsidRPr="00804B0C">
              <w:rPr>
                <w:b/>
                <w:bCs/>
                <w:color w:val="FFFFFF"/>
                <w:kern w:val="0"/>
                <w:sz w:val="20"/>
                <w:lang w:val="es-CL"/>
              </w:rPr>
              <w:t>Actividades</w:t>
            </w:r>
          </w:p>
        </w:tc>
        <w:tc>
          <w:tcPr>
            <w:tcW w:w="1569" w:type="dxa"/>
            <w:shd w:val="clear" w:color="auto" w:fill="94B6D2"/>
            <w:vAlign w:val="center"/>
          </w:tcPr>
          <w:p w:rsidR="006720D8" w:rsidRPr="00804B0C" w:rsidRDefault="006720D8" w:rsidP="00C37B65">
            <w:pPr>
              <w:spacing w:after="0" w:line="240" w:lineRule="auto"/>
              <w:jc w:val="center"/>
              <w:rPr>
                <w:b/>
                <w:bCs/>
                <w:color w:val="FFFFFF"/>
                <w:kern w:val="0"/>
                <w:sz w:val="20"/>
                <w:lang w:val="es-CL"/>
              </w:rPr>
            </w:pPr>
            <w:r w:rsidRPr="00804B0C">
              <w:rPr>
                <w:b/>
                <w:bCs/>
                <w:color w:val="FFFFFF"/>
                <w:kern w:val="0"/>
                <w:sz w:val="20"/>
                <w:lang w:val="es-CL"/>
              </w:rPr>
              <w:t>Responsable</w:t>
            </w:r>
          </w:p>
        </w:tc>
        <w:tc>
          <w:tcPr>
            <w:tcW w:w="1119" w:type="dxa"/>
            <w:shd w:val="clear" w:color="auto" w:fill="94B6D2"/>
            <w:vAlign w:val="center"/>
          </w:tcPr>
          <w:p w:rsidR="006720D8" w:rsidRPr="00804B0C" w:rsidRDefault="006720D8" w:rsidP="00C37B65">
            <w:pPr>
              <w:spacing w:after="0" w:line="240" w:lineRule="auto"/>
              <w:jc w:val="center"/>
              <w:rPr>
                <w:b/>
                <w:bCs/>
                <w:color w:val="FFFFFF"/>
                <w:kern w:val="0"/>
                <w:sz w:val="20"/>
                <w:lang w:val="es-CL"/>
              </w:rPr>
            </w:pPr>
            <w:r w:rsidRPr="00804B0C">
              <w:rPr>
                <w:b/>
                <w:bCs/>
                <w:color w:val="FFFFFF"/>
                <w:kern w:val="0"/>
                <w:sz w:val="20"/>
                <w:lang w:val="es-CL"/>
              </w:rPr>
              <w:t>Plazo</w:t>
            </w:r>
          </w:p>
        </w:tc>
      </w:tr>
      <w:tr w:rsidR="006720D8" w:rsidRPr="00804B0C" w:rsidTr="00C37B65">
        <w:trPr>
          <w:trHeight w:val="1147"/>
        </w:trPr>
        <w:tc>
          <w:tcPr>
            <w:tcW w:w="2123" w:type="dxa"/>
            <w:vMerge w:val="restart"/>
          </w:tcPr>
          <w:p w:rsidR="006720D8" w:rsidRPr="00804B0C" w:rsidRDefault="006720D8" w:rsidP="00C37B65">
            <w:pPr>
              <w:spacing w:after="0" w:line="240" w:lineRule="auto"/>
              <w:rPr>
                <w:b/>
                <w:bCs/>
                <w:kern w:val="0"/>
                <w:sz w:val="20"/>
                <w:highlight w:val="yellow"/>
                <w:lang w:val="es-CL"/>
              </w:rPr>
            </w:pPr>
            <w:r w:rsidRPr="00804B0C">
              <w:rPr>
                <w:b/>
                <w:bCs/>
                <w:kern w:val="0"/>
                <w:sz w:val="20"/>
                <w:lang w:val="es-CL"/>
              </w:rPr>
              <w:t>1) Creación de instancias de colaboración externas e internas</w:t>
            </w:r>
          </w:p>
        </w:tc>
        <w:tc>
          <w:tcPr>
            <w:tcW w:w="2199" w:type="dxa"/>
          </w:tcPr>
          <w:p w:rsidR="006720D8" w:rsidRPr="00F13083" w:rsidRDefault="006720D8" w:rsidP="00C37B65">
            <w:pPr>
              <w:spacing w:after="0" w:line="240" w:lineRule="auto"/>
              <w:rPr>
                <w:kern w:val="0"/>
                <w:sz w:val="20"/>
                <w:lang w:val="es-CL"/>
              </w:rPr>
            </w:pPr>
            <w:r w:rsidRPr="00F13083">
              <w:rPr>
                <w:kern w:val="0"/>
                <w:sz w:val="20"/>
                <w:lang w:val="es-CL"/>
              </w:rPr>
              <w:t>1.1) Fomentar alianzas y programas de intercambio con países que hayan implementado GHS</w:t>
            </w:r>
          </w:p>
        </w:tc>
        <w:tc>
          <w:tcPr>
            <w:tcW w:w="6758" w:type="dxa"/>
          </w:tcPr>
          <w:p w:rsidR="006720D8" w:rsidRPr="00F13083" w:rsidRDefault="006720D8" w:rsidP="00C37B65">
            <w:pPr>
              <w:spacing w:after="0" w:line="240" w:lineRule="auto"/>
              <w:rPr>
                <w:kern w:val="0"/>
                <w:sz w:val="20"/>
                <w:lang w:val="es-CL"/>
              </w:rPr>
            </w:pPr>
            <w:r w:rsidRPr="00F13083">
              <w:rPr>
                <w:kern w:val="0"/>
                <w:sz w:val="20"/>
                <w:lang w:val="es-CL"/>
              </w:rPr>
              <w:t>1.1.1) Identificar y promover la colaboración de instructores extranjeros especialistas en clasificación de peligros según GHS para la aplicación en el país</w:t>
            </w:r>
          </w:p>
          <w:p w:rsidR="006720D8" w:rsidRPr="00F13083" w:rsidRDefault="006720D8" w:rsidP="00C37B65">
            <w:pPr>
              <w:spacing w:after="0" w:line="240" w:lineRule="auto"/>
              <w:rPr>
                <w:rFonts w:ascii="Calibri" w:hAnsi="Calibri" w:cs="Calibri"/>
                <w:kern w:val="0"/>
                <w:sz w:val="20"/>
                <w:highlight w:val="yellow"/>
                <w:lang w:val="es-CL"/>
              </w:rPr>
            </w:pPr>
          </w:p>
        </w:tc>
        <w:tc>
          <w:tcPr>
            <w:tcW w:w="1569" w:type="dxa"/>
            <w:vMerge w:val="restart"/>
          </w:tcPr>
          <w:p w:rsidR="006720D8" w:rsidRPr="00804B0C" w:rsidRDefault="006720D8" w:rsidP="00C37B65">
            <w:pPr>
              <w:spacing w:after="0" w:line="240" w:lineRule="auto"/>
              <w:rPr>
                <w:kern w:val="0"/>
                <w:sz w:val="20"/>
                <w:lang w:val="es-CL"/>
              </w:rPr>
            </w:pPr>
            <w:r w:rsidRPr="00804B0C">
              <w:rPr>
                <w:kern w:val="0"/>
                <w:sz w:val="20"/>
                <w:lang w:val="es-CL"/>
              </w:rPr>
              <w:t>Gobierno, Sector Privado</w:t>
            </w:r>
          </w:p>
        </w:tc>
        <w:tc>
          <w:tcPr>
            <w:tcW w:w="1119" w:type="dxa"/>
          </w:tcPr>
          <w:p w:rsidR="006720D8" w:rsidRPr="00804B0C" w:rsidRDefault="006720D8" w:rsidP="00C37B65">
            <w:pPr>
              <w:spacing w:after="0" w:line="240" w:lineRule="auto"/>
              <w:rPr>
                <w:rFonts w:ascii="Calibri" w:hAnsi="Calibri" w:cs="Calibri"/>
                <w:kern w:val="0"/>
                <w:sz w:val="20"/>
                <w:lang w:val="es-CL"/>
              </w:rPr>
            </w:pPr>
            <w:r>
              <w:rPr>
                <w:rFonts w:ascii="Calibri" w:hAnsi="Calibri" w:cs="Calibri"/>
                <w:kern w:val="0"/>
                <w:sz w:val="20"/>
                <w:lang w:val="es-CL"/>
              </w:rPr>
              <w:t>2015 - 2016</w:t>
            </w:r>
          </w:p>
        </w:tc>
      </w:tr>
      <w:tr w:rsidR="006720D8" w:rsidRPr="00804B0C" w:rsidTr="00C37B65">
        <w:trPr>
          <w:trHeight w:val="922"/>
        </w:trPr>
        <w:tc>
          <w:tcPr>
            <w:tcW w:w="2123" w:type="dxa"/>
            <w:vMerge/>
          </w:tcPr>
          <w:p w:rsidR="006720D8" w:rsidRPr="00804B0C" w:rsidRDefault="006720D8" w:rsidP="00C37B65">
            <w:pPr>
              <w:spacing w:after="0" w:line="240" w:lineRule="auto"/>
              <w:rPr>
                <w:rFonts w:ascii="Calibri" w:hAnsi="Calibri" w:cs="Calibri"/>
                <w:b/>
                <w:bCs/>
                <w:kern w:val="0"/>
                <w:sz w:val="20"/>
                <w:highlight w:val="yellow"/>
                <w:lang w:val="es-CL"/>
              </w:rPr>
            </w:pPr>
          </w:p>
        </w:tc>
        <w:tc>
          <w:tcPr>
            <w:tcW w:w="2199" w:type="dxa"/>
          </w:tcPr>
          <w:p w:rsidR="006720D8" w:rsidRPr="00804B0C" w:rsidRDefault="006720D8" w:rsidP="00C37B65">
            <w:pPr>
              <w:spacing w:after="0" w:line="240" w:lineRule="auto"/>
              <w:rPr>
                <w:kern w:val="0"/>
                <w:sz w:val="20"/>
                <w:lang w:val="es-CL"/>
              </w:rPr>
            </w:pPr>
            <w:r w:rsidRPr="00804B0C">
              <w:rPr>
                <w:kern w:val="0"/>
                <w:sz w:val="20"/>
                <w:lang w:val="es-CL"/>
              </w:rPr>
              <w:t>1.</w:t>
            </w:r>
            <w:r>
              <w:rPr>
                <w:kern w:val="0"/>
                <w:sz w:val="20"/>
                <w:lang w:val="es-CL"/>
              </w:rPr>
              <w:t>2</w:t>
            </w:r>
            <w:r w:rsidRPr="00804B0C">
              <w:rPr>
                <w:kern w:val="0"/>
                <w:sz w:val="20"/>
                <w:lang w:val="es-CL"/>
              </w:rPr>
              <w:t xml:space="preserve">) </w:t>
            </w:r>
            <w:r w:rsidRPr="00804B0C">
              <w:rPr>
                <w:kern w:val="0"/>
                <w:sz w:val="20"/>
              </w:rPr>
              <w:t>Establecer acuerdos de colaboración permanentes entre empresas del sector industria</w:t>
            </w:r>
          </w:p>
        </w:tc>
        <w:tc>
          <w:tcPr>
            <w:tcW w:w="6758" w:type="dxa"/>
          </w:tcPr>
          <w:p w:rsidR="006720D8" w:rsidRPr="00804B0C" w:rsidRDefault="006720D8" w:rsidP="00C37B65">
            <w:pPr>
              <w:spacing w:after="0" w:line="240" w:lineRule="auto"/>
              <w:rPr>
                <w:kern w:val="0"/>
                <w:sz w:val="20"/>
                <w:lang w:val="es-CL"/>
              </w:rPr>
            </w:pPr>
            <w:r w:rsidRPr="00804B0C">
              <w:rPr>
                <w:kern w:val="0"/>
                <w:sz w:val="20"/>
                <w:lang w:val="es-CL"/>
              </w:rPr>
              <w:t>1.</w:t>
            </w:r>
            <w:r>
              <w:rPr>
                <w:kern w:val="0"/>
                <w:sz w:val="20"/>
                <w:lang w:val="es-CL"/>
              </w:rPr>
              <w:t>2</w:t>
            </w:r>
            <w:r w:rsidRPr="00804B0C">
              <w:rPr>
                <w:kern w:val="0"/>
                <w:sz w:val="20"/>
                <w:lang w:val="es-CL"/>
              </w:rPr>
              <w:t>.1) Promover el intercambio de conocimiento sobre el GHS a las pymes a través de colaboración entre representantes de los distintos sectores de la industria</w:t>
            </w:r>
          </w:p>
          <w:p w:rsidR="006720D8" w:rsidRPr="00804B0C" w:rsidRDefault="006720D8" w:rsidP="00C37B65">
            <w:pPr>
              <w:spacing w:after="0" w:line="240" w:lineRule="auto"/>
              <w:rPr>
                <w:kern w:val="0"/>
                <w:sz w:val="20"/>
                <w:lang w:val="es-CL"/>
              </w:rPr>
            </w:pPr>
            <w:r w:rsidRPr="00804B0C">
              <w:rPr>
                <w:kern w:val="0"/>
                <w:sz w:val="20"/>
                <w:lang w:val="es-CL"/>
              </w:rPr>
              <w:t>1.</w:t>
            </w:r>
            <w:r>
              <w:rPr>
                <w:kern w:val="0"/>
                <w:sz w:val="20"/>
                <w:lang w:val="es-CL"/>
              </w:rPr>
              <w:t>2</w:t>
            </w:r>
            <w:r w:rsidRPr="00804B0C">
              <w:rPr>
                <w:kern w:val="0"/>
                <w:sz w:val="20"/>
                <w:lang w:val="es-CL"/>
              </w:rPr>
              <w:t>.2) Evaluar las necesidades de las pymes frente a la clasificación, HDS y etiquetado según GHS y priorizar el apoyo en puntos débiles (información, sensibilización, capacitación, etc.)</w:t>
            </w:r>
          </w:p>
          <w:p w:rsidR="006720D8" w:rsidRPr="00804B0C" w:rsidRDefault="006720D8" w:rsidP="00C37B65">
            <w:pPr>
              <w:spacing w:after="0" w:line="240" w:lineRule="auto"/>
              <w:rPr>
                <w:rFonts w:ascii="Calibri" w:hAnsi="Calibri" w:cs="Calibri"/>
                <w:kern w:val="0"/>
                <w:sz w:val="16"/>
                <w:szCs w:val="16"/>
                <w:highlight w:val="green"/>
                <w:lang w:val="es-CL"/>
              </w:rPr>
            </w:pPr>
          </w:p>
        </w:tc>
        <w:tc>
          <w:tcPr>
            <w:tcW w:w="1569" w:type="dxa"/>
            <w:vMerge/>
          </w:tcPr>
          <w:p w:rsidR="006720D8" w:rsidRPr="00804B0C" w:rsidRDefault="006720D8" w:rsidP="00C37B65">
            <w:pPr>
              <w:spacing w:after="0" w:line="240" w:lineRule="auto"/>
              <w:rPr>
                <w:rFonts w:ascii="Calibri" w:hAnsi="Calibri" w:cs="Calibri"/>
                <w:kern w:val="0"/>
                <w:sz w:val="20"/>
                <w:lang w:val="es-CL"/>
              </w:rPr>
            </w:pPr>
          </w:p>
        </w:tc>
        <w:tc>
          <w:tcPr>
            <w:tcW w:w="1119" w:type="dxa"/>
          </w:tcPr>
          <w:p w:rsidR="006720D8" w:rsidRPr="00804B0C" w:rsidRDefault="008C6524" w:rsidP="00C37B65">
            <w:pPr>
              <w:spacing w:after="0" w:line="240" w:lineRule="auto"/>
              <w:rPr>
                <w:rFonts w:ascii="Calibri" w:hAnsi="Calibri" w:cs="Calibri"/>
                <w:kern w:val="0"/>
                <w:sz w:val="20"/>
                <w:lang w:val="es-CL"/>
              </w:rPr>
            </w:pPr>
            <w:r>
              <w:rPr>
                <w:rFonts w:ascii="Calibri" w:hAnsi="Calibri" w:cs="Calibri"/>
                <w:kern w:val="0"/>
                <w:sz w:val="20"/>
                <w:lang w:val="es-CL"/>
              </w:rPr>
              <w:t>2016 - 2017</w:t>
            </w:r>
          </w:p>
        </w:tc>
      </w:tr>
      <w:tr w:rsidR="006720D8" w:rsidRPr="00804B0C" w:rsidTr="00C37B65">
        <w:trPr>
          <w:trHeight w:val="984"/>
        </w:trPr>
        <w:tc>
          <w:tcPr>
            <w:tcW w:w="2123" w:type="dxa"/>
            <w:vMerge w:val="restart"/>
          </w:tcPr>
          <w:p w:rsidR="006720D8" w:rsidRPr="00804B0C" w:rsidRDefault="006720D8" w:rsidP="00C37B65">
            <w:pPr>
              <w:spacing w:after="0" w:line="240" w:lineRule="auto"/>
              <w:rPr>
                <w:b/>
                <w:bCs/>
                <w:kern w:val="0"/>
                <w:sz w:val="20"/>
                <w:highlight w:val="yellow"/>
              </w:rPr>
            </w:pPr>
            <w:r w:rsidRPr="00804B0C">
              <w:rPr>
                <w:b/>
                <w:bCs/>
                <w:kern w:val="0"/>
                <w:sz w:val="20"/>
                <w:lang w:val="es-CL"/>
              </w:rPr>
              <w:t xml:space="preserve">2) Fortalecimiento de </w:t>
            </w:r>
            <w:r>
              <w:rPr>
                <w:b/>
                <w:bCs/>
                <w:kern w:val="0"/>
                <w:sz w:val="20"/>
                <w:lang w:val="es-CL"/>
              </w:rPr>
              <w:t xml:space="preserve">capacidades e </w:t>
            </w:r>
            <w:r w:rsidRPr="00804B0C">
              <w:rPr>
                <w:b/>
                <w:bCs/>
                <w:kern w:val="0"/>
                <w:sz w:val="20"/>
                <w:lang w:val="es-CL"/>
              </w:rPr>
              <w:t xml:space="preserve">infraestructura </w:t>
            </w:r>
            <w:r>
              <w:rPr>
                <w:b/>
                <w:bCs/>
                <w:kern w:val="0"/>
                <w:sz w:val="20"/>
                <w:lang w:val="es-CL"/>
              </w:rPr>
              <w:t>de laboratorios</w:t>
            </w:r>
          </w:p>
        </w:tc>
        <w:tc>
          <w:tcPr>
            <w:tcW w:w="2199" w:type="dxa"/>
          </w:tcPr>
          <w:p w:rsidR="006720D8" w:rsidRPr="00804B0C" w:rsidRDefault="006720D8" w:rsidP="00C37B65">
            <w:pPr>
              <w:spacing w:after="0" w:line="240" w:lineRule="auto"/>
              <w:rPr>
                <w:kern w:val="0"/>
                <w:sz w:val="20"/>
                <w:highlight w:val="yellow"/>
              </w:rPr>
            </w:pPr>
            <w:r w:rsidRPr="00804B0C">
              <w:rPr>
                <w:kern w:val="0"/>
                <w:sz w:val="20"/>
              </w:rPr>
              <w:t>2.1)</w:t>
            </w:r>
            <w:r>
              <w:rPr>
                <w:kern w:val="0"/>
                <w:sz w:val="20"/>
              </w:rPr>
              <w:t xml:space="preserve"> </w:t>
            </w:r>
            <w:r w:rsidRPr="00C06958">
              <w:rPr>
                <w:kern w:val="0"/>
                <w:sz w:val="20"/>
              </w:rPr>
              <w:t>Mejorar</w:t>
            </w:r>
            <w:r>
              <w:rPr>
                <w:kern w:val="0"/>
                <w:sz w:val="20"/>
              </w:rPr>
              <w:t xml:space="preserve"> y/o g</w:t>
            </w:r>
            <w:r w:rsidRPr="00C06958">
              <w:rPr>
                <w:kern w:val="0"/>
                <w:sz w:val="20"/>
              </w:rPr>
              <w:t>enerar</w:t>
            </w:r>
            <w:r>
              <w:rPr>
                <w:kern w:val="0"/>
                <w:sz w:val="20"/>
              </w:rPr>
              <w:t xml:space="preserve"> </w:t>
            </w:r>
            <w:r w:rsidRPr="00804B0C">
              <w:rPr>
                <w:kern w:val="0"/>
                <w:sz w:val="20"/>
              </w:rPr>
              <w:t>capacidad de laboratorios</w:t>
            </w:r>
          </w:p>
        </w:tc>
        <w:tc>
          <w:tcPr>
            <w:tcW w:w="6758" w:type="dxa"/>
          </w:tcPr>
          <w:p w:rsidR="006720D8" w:rsidRDefault="006720D8" w:rsidP="00C37B65">
            <w:pPr>
              <w:spacing w:after="0" w:line="240" w:lineRule="auto"/>
              <w:rPr>
                <w:kern w:val="0"/>
                <w:sz w:val="20"/>
                <w:lang w:val="es-CL"/>
              </w:rPr>
            </w:pPr>
            <w:r w:rsidRPr="00804B0C">
              <w:rPr>
                <w:kern w:val="0"/>
                <w:sz w:val="20"/>
                <w:lang w:val="es-CL"/>
              </w:rPr>
              <w:t xml:space="preserve">2.1.1) </w:t>
            </w:r>
            <w:r>
              <w:rPr>
                <w:kern w:val="0"/>
                <w:sz w:val="20"/>
                <w:lang w:val="es-CL"/>
              </w:rPr>
              <w:t>Identificar capacidad existente y determinar brechas</w:t>
            </w:r>
          </w:p>
          <w:p w:rsidR="006720D8" w:rsidRPr="00C06958" w:rsidRDefault="006720D8" w:rsidP="00C37B65">
            <w:pPr>
              <w:spacing w:after="0" w:line="240" w:lineRule="auto"/>
              <w:rPr>
                <w:kern w:val="0"/>
                <w:sz w:val="20"/>
                <w:lang w:val="es-CL"/>
              </w:rPr>
            </w:pPr>
            <w:r>
              <w:rPr>
                <w:kern w:val="0"/>
                <w:sz w:val="20"/>
                <w:lang w:val="es-CL"/>
              </w:rPr>
              <w:t>2.1.2) Crear</w:t>
            </w:r>
            <w:r w:rsidRPr="00804B0C">
              <w:rPr>
                <w:kern w:val="0"/>
                <w:sz w:val="20"/>
                <w:lang w:val="es-CL"/>
              </w:rPr>
              <w:t xml:space="preserve"> </w:t>
            </w:r>
            <w:r>
              <w:rPr>
                <w:kern w:val="0"/>
                <w:sz w:val="20"/>
                <w:lang w:val="es-CL"/>
              </w:rPr>
              <w:t xml:space="preserve">instrumentos para </w:t>
            </w:r>
            <w:r w:rsidRPr="00804B0C">
              <w:rPr>
                <w:kern w:val="0"/>
                <w:sz w:val="20"/>
                <w:lang w:val="es-CL"/>
              </w:rPr>
              <w:t>incentiv</w:t>
            </w:r>
            <w:r>
              <w:rPr>
                <w:kern w:val="0"/>
                <w:sz w:val="20"/>
                <w:lang w:val="es-CL"/>
              </w:rPr>
              <w:t>ar</w:t>
            </w:r>
            <w:r w:rsidRPr="00804B0C">
              <w:rPr>
                <w:kern w:val="0"/>
                <w:sz w:val="20"/>
                <w:lang w:val="es-CL"/>
              </w:rPr>
              <w:t xml:space="preserve"> la </w:t>
            </w:r>
            <w:r>
              <w:rPr>
                <w:kern w:val="0"/>
                <w:sz w:val="20"/>
                <w:lang w:val="es-CL"/>
              </w:rPr>
              <w:t xml:space="preserve">mejora y/o </w:t>
            </w:r>
            <w:r w:rsidRPr="00804B0C">
              <w:rPr>
                <w:kern w:val="0"/>
                <w:sz w:val="20"/>
                <w:lang w:val="es-CL"/>
              </w:rPr>
              <w:t xml:space="preserve">creación de capacidades </w:t>
            </w:r>
            <w:r>
              <w:rPr>
                <w:kern w:val="0"/>
                <w:sz w:val="20"/>
                <w:lang w:val="es-CL"/>
              </w:rPr>
              <w:t>de</w:t>
            </w:r>
            <w:r w:rsidRPr="00804B0C">
              <w:rPr>
                <w:kern w:val="0"/>
                <w:sz w:val="20"/>
                <w:lang w:val="es-CL"/>
              </w:rPr>
              <w:t xml:space="preserve"> laboratorio </w:t>
            </w:r>
          </w:p>
        </w:tc>
        <w:tc>
          <w:tcPr>
            <w:tcW w:w="1569" w:type="dxa"/>
            <w:vMerge w:val="restart"/>
          </w:tcPr>
          <w:p w:rsidR="006720D8" w:rsidRPr="00804B0C" w:rsidRDefault="006720D8" w:rsidP="00C37B65">
            <w:pPr>
              <w:spacing w:after="0" w:line="240" w:lineRule="auto"/>
              <w:rPr>
                <w:kern w:val="0"/>
                <w:sz w:val="20"/>
                <w:lang w:val="es-CL"/>
              </w:rPr>
            </w:pPr>
            <w:r w:rsidRPr="00804B0C">
              <w:rPr>
                <w:kern w:val="0"/>
                <w:sz w:val="20"/>
                <w:lang w:val="es-CL"/>
              </w:rPr>
              <w:t>Gobierno, Sector Privado, Universidades</w:t>
            </w:r>
          </w:p>
        </w:tc>
        <w:tc>
          <w:tcPr>
            <w:tcW w:w="1119" w:type="dxa"/>
          </w:tcPr>
          <w:p w:rsidR="006720D8" w:rsidRPr="00804B0C" w:rsidRDefault="006720D8" w:rsidP="008C6524">
            <w:pPr>
              <w:spacing w:after="0" w:line="240" w:lineRule="auto"/>
              <w:rPr>
                <w:rFonts w:ascii="Calibri" w:hAnsi="Calibri" w:cs="Calibri"/>
                <w:kern w:val="0"/>
                <w:sz w:val="20"/>
                <w:lang w:val="es-CL"/>
              </w:rPr>
            </w:pPr>
            <w:r>
              <w:rPr>
                <w:rFonts w:ascii="Calibri" w:hAnsi="Calibri" w:cs="Calibri"/>
                <w:kern w:val="0"/>
                <w:sz w:val="20"/>
                <w:lang w:val="es-CL"/>
              </w:rPr>
              <w:t>2015 - 201</w:t>
            </w:r>
            <w:r w:rsidR="008C6524">
              <w:rPr>
                <w:rFonts w:ascii="Calibri" w:hAnsi="Calibri" w:cs="Calibri"/>
                <w:kern w:val="0"/>
                <w:sz w:val="20"/>
                <w:lang w:val="es-CL"/>
              </w:rPr>
              <w:t>7</w:t>
            </w:r>
          </w:p>
        </w:tc>
      </w:tr>
      <w:tr w:rsidR="006720D8" w:rsidRPr="00804B0C" w:rsidTr="00C37B65">
        <w:trPr>
          <w:trHeight w:val="765"/>
        </w:trPr>
        <w:tc>
          <w:tcPr>
            <w:tcW w:w="2123" w:type="dxa"/>
            <w:vMerge/>
          </w:tcPr>
          <w:p w:rsidR="006720D8" w:rsidRPr="00804B0C" w:rsidRDefault="006720D8" w:rsidP="00C37B65">
            <w:pPr>
              <w:spacing w:after="0" w:line="240" w:lineRule="auto"/>
              <w:rPr>
                <w:b/>
                <w:bCs/>
                <w:kern w:val="0"/>
                <w:sz w:val="20"/>
                <w:highlight w:val="yellow"/>
                <w:lang w:val="es-CL"/>
              </w:rPr>
            </w:pPr>
          </w:p>
        </w:tc>
        <w:tc>
          <w:tcPr>
            <w:tcW w:w="2199" w:type="dxa"/>
          </w:tcPr>
          <w:p w:rsidR="006720D8" w:rsidRPr="00804B0C" w:rsidRDefault="006720D8" w:rsidP="00C37B65">
            <w:pPr>
              <w:spacing w:after="0" w:line="240" w:lineRule="auto"/>
              <w:rPr>
                <w:rFonts w:ascii="Calibri" w:hAnsi="Calibri" w:cs="Calibri"/>
                <w:kern w:val="0"/>
                <w:sz w:val="20"/>
                <w:highlight w:val="yellow"/>
                <w:lang w:val="es-CL"/>
              </w:rPr>
            </w:pPr>
            <w:r>
              <w:rPr>
                <w:kern w:val="0"/>
                <w:sz w:val="20"/>
              </w:rPr>
              <w:t>2.2</w:t>
            </w:r>
            <w:r w:rsidRPr="00804B0C">
              <w:rPr>
                <w:kern w:val="0"/>
                <w:sz w:val="20"/>
              </w:rPr>
              <w:t>) Mejorar capaci</w:t>
            </w:r>
            <w:r>
              <w:rPr>
                <w:kern w:val="0"/>
                <w:sz w:val="20"/>
              </w:rPr>
              <w:t>dad técnica</w:t>
            </w:r>
          </w:p>
        </w:tc>
        <w:tc>
          <w:tcPr>
            <w:tcW w:w="6758" w:type="dxa"/>
          </w:tcPr>
          <w:p w:rsidR="006720D8" w:rsidRPr="00804B0C" w:rsidRDefault="006720D8" w:rsidP="00C37B65">
            <w:pPr>
              <w:autoSpaceDE w:val="0"/>
              <w:autoSpaceDN w:val="0"/>
              <w:adjustRightInd w:val="0"/>
              <w:spacing w:after="0" w:line="240" w:lineRule="auto"/>
              <w:rPr>
                <w:kern w:val="0"/>
                <w:sz w:val="20"/>
                <w:lang w:val="es-CL"/>
              </w:rPr>
            </w:pPr>
            <w:r w:rsidRPr="00804B0C">
              <w:rPr>
                <w:kern w:val="0"/>
                <w:sz w:val="20"/>
                <w:lang w:val="es-CL"/>
              </w:rPr>
              <w:t>2.</w:t>
            </w:r>
            <w:r>
              <w:rPr>
                <w:kern w:val="0"/>
                <w:sz w:val="20"/>
                <w:lang w:val="es-CL"/>
              </w:rPr>
              <w:t>2</w:t>
            </w:r>
            <w:r w:rsidRPr="00804B0C">
              <w:rPr>
                <w:kern w:val="0"/>
                <w:sz w:val="20"/>
                <w:lang w:val="es-CL"/>
              </w:rPr>
              <w:t xml:space="preserve">.1) </w:t>
            </w:r>
            <w:r>
              <w:rPr>
                <w:kern w:val="0"/>
                <w:sz w:val="20"/>
                <w:lang w:val="es-CL"/>
              </w:rPr>
              <w:t>C</w:t>
            </w:r>
            <w:r w:rsidRPr="00804B0C">
              <w:rPr>
                <w:kern w:val="0"/>
                <w:sz w:val="20"/>
                <w:lang w:val="es-CL"/>
              </w:rPr>
              <w:t xml:space="preserve">apacitación de profesionales en técnicas </w:t>
            </w:r>
            <w:r>
              <w:rPr>
                <w:kern w:val="0"/>
                <w:sz w:val="20"/>
                <w:lang w:val="es-CL"/>
              </w:rPr>
              <w:t>de laboratorios</w:t>
            </w:r>
            <w:r w:rsidRPr="00804B0C">
              <w:rPr>
                <w:kern w:val="0"/>
                <w:sz w:val="20"/>
                <w:lang w:val="es-CL"/>
              </w:rPr>
              <w:t xml:space="preserve"> y acreditación </w:t>
            </w:r>
            <w:r>
              <w:rPr>
                <w:kern w:val="0"/>
                <w:sz w:val="20"/>
                <w:lang w:val="es-CL"/>
              </w:rPr>
              <w:t>de laboratorios</w:t>
            </w:r>
          </w:p>
          <w:p w:rsidR="006720D8" w:rsidRPr="00804B0C" w:rsidRDefault="006720D8" w:rsidP="00C37B65">
            <w:pPr>
              <w:autoSpaceDE w:val="0"/>
              <w:autoSpaceDN w:val="0"/>
              <w:adjustRightInd w:val="0"/>
              <w:spacing w:after="0" w:line="240" w:lineRule="auto"/>
              <w:rPr>
                <w:rFonts w:ascii="Calibri" w:hAnsi="Calibri" w:cs="Calibri"/>
                <w:kern w:val="0"/>
                <w:sz w:val="20"/>
                <w:highlight w:val="yellow"/>
                <w:lang w:val="es-CL"/>
              </w:rPr>
            </w:pPr>
            <w:r w:rsidRPr="0022305B">
              <w:rPr>
                <w:kern w:val="0"/>
                <w:sz w:val="20"/>
                <w:lang w:val="es-CL"/>
              </w:rPr>
              <w:t>2.</w:t>
            </w:r>
            <w:r>
              <w:rPr>
                <w:kern w:val="0"/>
                <w:sz w:val="20"/>
                <w:lang w:val="es-CL"/>
              </w:rPr>
              <w:t>2</w:t>
            </w:r>
            <w:r w:rsidRPr="0022305B">
              <w:rPr>
                <w:kern w:val="0"/>
                <w:sz w:val="20"/>
                <w:lang w:val="es-CL"/>
              </w:rPr>
              <w:t xml:space="preserve">.2) </w:t>
            </w:r>
            <w:r>
              <w:rPr>
                <w:kern w:val="0"/>
                <w:sz w:val="20"/>
                <w:lang w:val="es-CL"/>
              </w:rPr>
              <w:t xml:space="preserve">Promover alianzas o redes entre laboratorios a nivel nacional e internacional. </w:t>
            </w:r>
          </w:p>
        </w:tc>
        <w:tc>
          <w:tcPr>
            <w:tcW w:w="1569" w:type="dxa"/>
            <w:vMerge/>
          </w:tcPr>
          <w:p w:rsidR="006720D8" w:rsidRPr="00804B0C" w:rsidRDefault="006720D8" w:rsidP="00C37B65">
            <w:pPr>
              <w:spacing w:after="0" w:line="240" w:lineRule="auto"/>
              <w:rPr>
                <w:rFonts w:ascii="Calibri" w:hAnsi="Calibri" w:cs="Calibri"/>
                <w:kern w:val="0"/>
                <w:sz w:val="20"/>
                <w:highlight w:val="yellow"/>
                <w:lang w:val="es-CL"/>
              </w:rPr>
            </w:pPr>
          </w:p>
        </w:tc>
        <w:tc>
          <w:tcPr>
            <w:tcW w:w="1119" w:type="dxa"/>
          </w:tcPr>
          <w:p w:rsidR="006720D8" w:rsidRPr="00804B0C" w:rsidRDefault="006720D8" w:rsidP="00C37B65">
            <w:pPr>
              <w:spacing w:after="0" w:line="240" w:lineRule="auto"/>
              <w:rPr>
                <w:rFonts w:ascii="Calibri" w:hAnsi="Calibri" w:cs="Calibri"/>
                <w:kern w:val="0"/>
                <w:sz w:val="20"/>
                <w:highlight w:val="yellow"/>
                <w:lang w:val="es-CL"/>
              </w:rPr>
            </w:pPr>
            <w:r>
              <w:rPr>
                <w:rFonts w:ascii="Calibri" w:hAnsi="Calibri" w:cs="Calibri"/>
                <w:kern w:val="0"/>
                <w:sz w:val="20"/>
                <w:lang w:val="es-CL"/>
              </w:rPr>
              <w:t>2015 - 2016</w:t>
            </w:r>
          </w:p>
        </w:tc>
      </w:tr>
      <w:tr w:rsidR="006720D8" w:rsidRPr="00804B0C" w:rsidTr="00C37B65">
        <w:trPr>
          <w:trHeight w:val="765"/>
        </w:trPr>
        <w:tc>
          <w:tcPr>
            <w:tcW w:w="2123" w:type="dxa"/>
          </w:tcPr>
          <w:p w:rsidR="006720D8" w:rsidRPr="00804B0C" w:rsidRDefault="006720D8" w:rsidP="00C37B65">
            <w:pPr>
              <w:spacing w:after="0" w:line="240" w:lineRule="auto"/>
              <w:rPr>
                <w:b/>
                <w:bCs/>
                <w:kern w:val="0"/>
                <w:sz w:val="20"/>
                <w:highlight w:val="yellow"/>
                <w:lang w:val="es-CL"/>
              </w:rPr>
            </w:pPr>
            <w:r w:rsidRPr="00804B0C">
              <w:rPr>
                <w:b/>
                <w:bCs/>
                <w:kern w:val="0"/>
                <w:sz w:val="20"/>
              </w:rPr>
              <w:t>3</w:t>
            </w:r>
            <w:r w:rsidRPr="00804B0C">
              <w:rPr>
                <w:b/>
                <w:bCs/>
                <w:kern w:val="0"/>
                <w:sz w:val="20"/>
                <w:lang w:val="es-CL"/>
              </w:rPr>
              <w:t xml:space="preserve">) Fortalecer la capacidad nacional en el desarrollo de HDS, clasificación, etiquetado según GHS del sector </w:t>
            </w:r>
            <w:r>
              <w:rPr>
                <w:b/>
                <w:bCs/>
                <w:kern w:val="0"/>
                <w:sz w:val="20"/>
                <w:lang w:val="es-CL"/>
              </w:rPr>
              <w:t>privado</w:t>
            </w:r>
          </w:p>
        </w:tc>
        <w:tc>
          <w:tcPr>
            <w:tcW w:w="2199" w:type="dxa"/>
          </w:tcPr>
          <w:p w:rsidR="006720D8" w:rsidRPr="00804B0C" w:rsidRDefault="006720D8" w:rsidP="00C37B65">
            <w:pPr>
              <w:spacing w:after="0" w:line="240" w:lineRule="auto"/>
              <w:rPr>
                <w:kern w:val="0"/>
                <w:sz w:val="20"/>
                <w:highlight w:val="yellow"/>
                <w:lang w:val="es-CL"/>
              </w:rPr>
            </w:pPr>
            <w:r w:rsidRPr="00804B0C">
              <w:rPr>
                <w:kern w:val="0"/>
                <w:sz w:val="20"/>
                <w:lang w:val="es-CL"/>
              </w:rPr>
              <w:t xml:space="preserve">3.1) </w:t>
            </w:r>
            <w:r>
              <w:rPr>
                <w:kern w:val="0"/>
                <w:sz w:val="20"/>
                <w:lang w:val="es-CL"/>
              </w:rPr>
              <w:t xml:space="preserve">Profesionales </w:t>
            </w:r>
            <w:r w:rsidRPr="00804B0C">
              <w:rPr>
                <w:kern w:val="0"/>
                <w:sz w:val="20"/>
                <w:lang w:val="es-CL"/>
              </w:rPr>
              <w:t>capacita</w:t>
            </w:r>
            <w:r>
              <w:rPr>
                <w:kern w:val="0"/>
                <w:sz w:val="20"/>
                <w:lang w:val="es-CL"/>
              </w:rPr>
              <w:t>dos</w:t>
            </w:r>
            <w:r w:rsidRPr="00804B0C">
              <w:rPr>
                <w:kern w:val="0"/>
                <w:sz w:val="20"/>
                <w:lang w:val="es-CL"/>
              </w:rPr>
              <w:t xml:space="preserve"> </w:t>
            </w:r>
            <w:r>
              <w:rPr>
                <w:kern w:val="0"/>
                <w:sz w:val="20"/>
                <w:lang w:val="es-CL"/>
              </w:rPr>
              <w:t>para</w:t>
            </w:r>
            <w:r w:rsidRPr="00804B0C">
              <w:rPr>
                <w:kern w:val="0"/>
                <w:sz w:val="20"/>
                <w:lang w:val="es-CL"/>
              </w:rPr>
              <w:t xml:space="preserve"> clasificar y/o elaborar HDS en sector industria</w:t>
            </w:r>
          </w:p>
        </w:tc>
        <w:tc>
          <w:tcPr>
            <w:tcW w:w="6758" w:type="dxa"/>
          </w:tcPr>
          <w:p w:rsidR="006720D8" w:rsidRDefault="006720D8" w:rsidP="00C37B65">
            <w:pPr>
              <w:spacing w:after="0" w:line="240" w:lineRule="auto"/>
              <w:rPr>
                <w:kern w:val="0"/>
                <w:sz w:val="20"/>
                <w:lang w:val="es-CL"/>
              </w:rPr>
            </w:pPr>
            <w:r w:rsidRPr="00804B0C">
              <w:rPr>
                <w:kern w:val="0"/>
                <w:sz w:val="20"/>
                <w:lang w:val="es-CL"/>
              </w:rPr>
              <w:t xml:space="preserve">3.1.1) </w:t>
            </w:r>
            <w:r>
              <w:rPr>
                <w:kern w:val="0"/>
                <w:sz w:val="20"/>
                <w:lang w:val="es-CL"/>
              </w:rPr>
              <w:t xml:space="preserve">Establecer programa de trabajo para creación de capacidades entre sector público y privado </w:t>
            </w:r>
          </w:p>
          <w:p w:rsidR="006720D8" w:rsidRDefault="006720D8" w:rsidP="00C37B65">
            <w:pPr>
              <w:spacing w:after="0" w:line="240" w:lineRule="auto"/>
              <w:rPr>
                <w:kern w:val="0"/>
                <w:sz w:val="20"/>
                <w:lang w:val="es-CL"/>
              </w:rPr>
            </w:pPr>
            <w:r>
              <w:rPr>
                <w:kern w:val="0"/>
                <w:sz w:val="20"/>
                <w:lang w:val="es-CL"/>
              </w:rPr>
              <w:t>3.1.2) Creación de mesas de trabajo público – privado para definición de criterios de implementación</w:t>
            </w:r>
          </w:p>
          <w:p w:rsidR="006720D8" w:rsidRPr="00804B0C" w:rsidRDefault="006720D8" w:rsidP="00C37B65">
            <w:pPr>
              <w:spacing w:after="0" w:line="240" w:lineRule="auto"/>
              <w:rPr>
                <w:kern w:val="0"/>
                <w:sz w:val="20"/>
                <w:lang w:val="es-CL"/>
              </w:rPr>
            </w:pPr>
            <w:r>
              <w:rPr>
                <w:kern w:val="0"/>
                <w:sz w:val="20"/>
                <w:lang w:val="es-CL"/>
              </w:rPr>
              <w:t xml:space="preserve">3.1.3) </w:t>
            </w:r>
            <w:r w:rsidRPr="00804B0C">
              <w:rPr>
                <w:kern w:val="0"/>
                <w:sz w:val="20"/>
                <w:lang w:val="es-CL"/>
              </w:rPr>
              <w:t>Obtener recursos técnicos a partir de las instancias de cooperación con organismos internacionales</w:t>
            </w:r>
          </w:p>
          <w:p w:rsidR="006720D8" w:rsidRPr="00804B0C" w:rsidRDefault="006720D8" w:rsidP="00C37B65">
            <w:pPr>
              <w:spacing w:after="0" w:line="240" w:lineRule="auto"/>
              <w:rPr>
                <w:kern w:val="0"/>
                <w:sz w:val="20"/>
                <w:highlight w:val="yellow"/>
                <w:lang w:val="es-CL"/>
              </w:rPr>
            </w:pPr>
            <w:r w:rsidRPr="00804B0C">
              <w:rPr>
                <w:kern w:val="0"/>
                <w:sz w:val="20"/>
                <w:lang w:val="es-CL"/>
              </w:rPr>
              <w:t>3.2.</w:t>
            </w:r>
            <w:r>
              <w:rPr>
                <w:kern w:val="0"/>
                <w:sz w:val="20"/>
                <w:lang w:val="es-CL"/>
              </w:rPr>
              <w:t>4</w:t>
            </w:r>
            <w:r w:rsidRPr="00804B0C">
              <w:rPr>
                <w:kern w:val="0"/>
                <w:sz w:val="20"/>
                <w:lang w:val="es-CL"/>
              </w:rPr>
              <w:t>) Evaluar grupos objetivos y generar material adecuado de acuerdo a capacidades actuales</w:t>
            </w:r>
          </w:p>
        </w:tc>
        <w:tc>
          <w:tcPr>
            <w:tcW w:w="1569" w:type="dxa"/>
          </w:tcPr>
          <w:p w:rsidR="006720D8" w:rsidRPr="00804B0C" w:rsidRDefault="006720D8" w:rsidP="00C37B65">
            <w:pPr>
              <w:spacing w:after="0" w:line="240" w:lineRule="auto"/>
              <w:rPr>
                <w:kern w:val="0"/>
                <w:sz w:val="20"/>
                <w:lang w:val="es-CL"/>
              </w:rPr>
            </w:pPr>
            <w:r w:rsidRPr="00804B0C">
              <w:rPr>
                <w:kern w:val="0"/>
                <w:sz w:val="20"/>
                <w:lang w:val="es-CL"/>
              </w:rPr>
              <w:t>Gobierno, Industria</w:t>
            </w:r>
          </w:p>
        </w:tc>
        <w:tc>
          <w:tcPr>
            <w:tcW w:w="1119" w:type="dxa"/>
          </w:tcPr>
          <w:p w:rsidR="006720D8" w:rsidRPr="00804B0C" w:rsidRDefault="006720D8" w:rsidP="00C37B65">
            <w:pPr>
              <w:spacing w:after="0" w:line="240" w:lineRule="auto"/>
              <w:rPr>
                <w:rFonts w:ascii="Calibri" w:hAnsi="Calibri" w:cs="Calibri"/>
                <w:kern w:val="0"/>
                <w:sz w:val="20"/>
                <w:lang w:val="es-CL"/>
              </w:rPr>
            </w:pPr>
            <w:r>
              <w:rPr>
                <w:rFonts w:ascii="Calibri" w:hAnsi="Calibri" w:cs="Calibri"/>
                <w:kern w:val="0"/>
                <w:sz w:val="20"/>
                <w:lang w:val="es-CL"/>
              </w:rPr>
              <w:t>2016</w:t>
            </w:r>
            <w:r w:rsidR="008C6524">
              <w:rPr>
                <w:rFonts w:ascii="Calibri" w:hAnsi="Calibri" w:cs="Calibri"/>
                <w:kern w:val="0"/>
                <w:sz w:val="20"/>
                <w:lang w:val="es-CL"/>
              </w:rPr>
              <w:t xml:space="preserve"> - 2017</w:t>
            </w:r>
          </w:p>
        </w:tc>
      </w:tr>
      <w:tr w:rsidR="006720D8" w:rsidRPr="00804B0C" w:rsidTr="00C37B65">
        <w:trPr>
          <w:trHeight w:val="765"/>
        </w:trPr>
        <w:tc>
          <w:tcPr>
            <w:tcW w:w="2123" w:type="dxa"/>
          </w:tcPr>
          <w:p w:rsidR="006720D8" w:rsidRPr="00804B0C" w:rsidRDefault="006720D8" w:rsidP="00C37B65">
            <w:pPr>
              <w:spacing w:after="0" w:line="240" w:lineRule="auto"/>
              <w:rPr>
                <w:rFonts w:ascii="Calibri" w:hAnsi="Calibri" w:cs="Calibri"/>
                <w:b/>
                <w:bCs/>
                <w:kern w:val="0"/>
                <w:sz w:val="20"/>
                <w:lang w:val="es-CL"/>
              </w:rPr>
            </w:pPr>
            <w:r w:rsidRPr="00804B0C">
              <w:rPr>
                <w:b/>
                <w:bCs/>
                <w:kern w:val="0"/>
                <w:sz w:val="20"/>
                <w:lang w:val="es-CL"/>
              </w:rPr>
              <w:t>4) Fortalecimiento de competencias de fiscalización</w:t>
            </w:r>
          </w:p>
        </w:tc>
        <w:tc>
          <w:tcPr>
            <w:tcW w:w="2199" w:type="dxa"/>
          </w:tcPr>
          <w:p w:rsidR="006720D8" w:rsidRPr="00804B0C" w:rsidRDefault="006720D8" w:rsidP="00C37B65">
            <w:pPr>
              <w:spacing w:after="0" w:line="240" w:lineRule="auto"/>
              <w:rPr>
                <w:kern w:val="0"/>
                <w:sz w:val="20"/>
              </w:rPr>
            </w:pPr>
            <w:r w:rsidRPr="00804B0C">
              <w:rPr>
                <w:kern w:val="0"/>
                <w:sz w:val="20"/>
              </w:rPr>
              <w:t>4.1) Contar con grupo de fiscalizadores capacitados en GHS</w:t>
            </w:r>
          </w:p>
        </w:tc>
        <w:tc>
          <w:tcPr>
            <w:tcW w:w="6758" w:type="dxa"/>
          </w:tcPr>
          <w:p w:rsidR="006720D8" w:rsidRPr="00804B0C" w:rsidRDefault="006720D8" w:rsidP="00C37B65">
            <w:pPr>
              <w:spacing w:after="0" w:line="240" w:lineRule="auto"/>
              <w:rPr>
                <w:kern w:val="0"/>
                <w:sz w:val="20"/>
                <w:lang w:val="es-CL"/>
              </w:rPr>
            </w:pPr>
            <w:r w:rsidRPr="00804B0C">
              <w:rPr>
                <w:kern w:val="0"/>
                <w:sz w:val="20"/>
                <w:lang w:val="es-CL"/>
              </w:rPr>
              <w:t>4.1.1) Realizar una evaluación de las responsabilidades y capacidades actuales de fiscalización de los inspectores</w:t>
            </w:r>
          </w:p>
          <w:p w:rsidR="006720D8" w:rsidRPr="00804B0C" w:rsidRDefault="006720D8" w:rsidP="00C37B65">
            <w:pPr>
              <w:spacing w:after="0" w:line="240" w:lineRule="auto"/>
              <w:rPr>
                <w:kern w:val="0"/>
                <w:sz w:val="20"/>
                <w:lang w:val="es-CL"/>
              </w:rPr>
            </w:pPr>
            <w:r w:rsidRPr="00804B0C">
              <w:rPr>
                <w:kern w:val="0"/>
                <w:sz w:val="20"/>
                <w:lang w:val="es-CL"/>
              </w:rPr>
              <w:t>4.1.2) Identificar posible superposición de funciones</w:t>
            </w:r>
            <w:r>
              <w:rPr>
                <w:kern w:val="0"/>
                <w:sz w:val="20"/>
                <w:lang w:val="es-CL"/>
              </w:rPr>
              <w:t xml:space="preserve"> entre distintas instituciones</w:t>
            </w:r>
          </w:p>
          <w:p w:rsidR="006720D8" w:rsidRPr="008A598B" w:rsidRDefault="006720D8" w:rsidP="00C37B65">
            <w:pPr>
              <w:spacing w:after="0" w:line="240" w:lineRule="auto"/>
              <w:rPr>
                <w:color w:val="000000" w:themeColor="text1"/>
                <w:kern w:val="0"/>
                <w:sz w:val="20"/>
                <w:lang w:val="es-CL"/>
              </w:rPr>
            </w:pPr>
            <w:r w:rsidRPr="008A598B">
              <w:rPr>
                <w:color w:val="000000" w:themeColor="text1"/>
                <w:kern w:val="0"/>
                <w:sz w:val="20"/>
                <w:lang w:val="es-CL"/>
              </w:rPr>
              <w:t>4.1.3) Elaborar programas de entrenamiento en Evaluación y Gestión de sustancias químicas a fiscalizadores</w:t>
            </w:r>
          </w:p>
          <w:p w:rsidR="006720D8" w:rsidRPr="00804B0C" w:rsidRDefault="006720D8" w:rsidP="00C37B65">
            <w:pPr>
              <w:spacing w:after="0" w:line="240" w:lineRule="auto"/>
              <w:rPr>
                <w:kern w:val="0"/>
                <w:sz w:val="20"/>
                <w:lang w:val="es-CL"/>
              </w:rPr>
            </w:pPr>
            <w:r w:rsidRPr="00804B0C">
              <w:rPr>
                <w:kern w:val="0"/>
                <w:sz w:val="20"/>
                <w:lang w:val="es-CL"/>
              </w:rPr>
              <w:t>4.1.</w:t>
            </w:r>
            <w:r>
              <w:rPr>
                <w:kern w:val="0"/>
                <w:sz w:val="20"/>
                <w:lang w:val="es-CL"/>
              </w:rPr>
              <w:t>4</w:t>
            </w:r>
            <w:r w:rsidRPr="00804B0C">
              <w:rPr>
                <w:kern w:val="0"/>
                <w:sz w:val="20"/>
                <w:lang w:val="es-CL"/>
              </w:rPr>
              <w:t xml:space="preserve">) </w:t>
            </w:r>
            <w:r>
              <w:rPr>
                <w:kern w:val="0"/>
                <w:sz w:val="20"/>
                <w:lang w:val="es-CL"/>
              </w:rPr>
              <w:t xml:space="preserve">Implementar Programa de Entrenamiento y Gestión, a través de </w:t>
            </w:r>
            <w:r w:rsidRPr="00804B0C">
              <w:rPr>
                <w:kern w:val="0"/>
                <w:sz w:val="20"/>
                <w:lang w:val="es-CL"/>
              </w:rPr>
              <w:t xml:space="preserve"> cursos </w:t>
            </w:r>
            <w:r>
              <w:rPr>
                <w:kern w:val="0"/>
                <w:sz w:val="20"/>
                <w:lang w:val="es-CL"/>
              </w:rPr>
              <w:t>a</w:t>
            </w:r>
            <w:r w:rsidRPr="00804B0C">
              <w:rPr>
                <w:kern w:val="0"/>
                <w:sz w:val="20"/>
                <w:lang w:val="es-CL"/>
              </w:rPr>
              <w:t xml:space="preserve"> fiscalizadores de</w:t>
            </w:r>
            <w:r>
              <w:rPr>
                <w:kern w:val="0"/>
                <w:sz w:val="20"/>
                <w:lang w:val="es-CL"/>
              </w:rPr>
              <w:t>l</w:t>
            </w:r>
            <w:r w:rsidRPr="00804B0C">
              <w:rPr>
                <w:kern w:val="0"/>
                <w:sz w:val="20"/>
                <w:lang w:val="es-CL"/>
              </w:rPr>
              <w:t xml:space="preserve"> sector público</w:t>
            </w:r>
            <w:r>
              <w:rPr>
                <w:kern w:val="0"/>
                <w:sz w:val="20"/>
                <w:lang w:val="es-CL"/>
              </w:rPr>
              <w:t>, incluyendo</w:t>
            </w:r>
            <w:r w:rsidRPr="00804B0C">
              <w:rPr>
                <w:kern w:val="0"/>
                <w:sz w:val="20"/>
                <w:lang w:val="es-CL"/>
              </w:rPr>
              <w:t xml:space="preserve"> profesionales de respuesta a emergencia</w:t>
            </w:r>
          </w:p>
        </w:tc>
        <w:tc>
          <w:tcPr>
            <w:tcW w:w="1569" w:type="dxa"/>
          </w:tcPr>
          <w:p w:rsidR="006720D8" w:rsidRPr="00804B0C" w:rsidRDefault="006720D8" w:rsidP="00C37B65">
            <w:pPr>
              <w:spacing w:after="0" w:line="240" w:lineRule="auto"/>
              <w:rPr>
                <w:kern w:val="0"/>
                <w:sz w:val="20"/>
                <w:lang w:val="es-CL"/>
              </w:rPr>
            </w:pPr>
            <w:r w:rsidRPr="00804B0C">
              <w:rPr>
                <w:kern w:val="0"/>
                <w:sz w:val="20"/>
                <w:lang w:val="es-CL"/>
              </w:rPr>
              <w:t>Gobierno, Industria</w:t>
            </w:r>
          </w:p>
        </w:tc>
        <w:tc>
          <w:tcPr>
            <w:tcW w:w="1119" w:type="dxa"/>
          </w:tcPr>
          <w:p w:rsidR="006720D8" w:rsidRPr="00804B0C" w:rsidRDefault="006720D8" w:rsidP="00C37B65">
            <w:pPr>
              <w:spacing w:after="0" w:line="240" w:lineRule="auto"/>
              <w:rPr>
                <w:rFonts w:ascii="Calibri" w:hAnsi="Calibri" w:cs="Calibri"/>
                <w:kern w:val="0"/>
                <w:sz w:val="20"/>
                <w:highlight w:val="yellow"/>
                <w:lang w:val="es-CL"/>
              </w:rPr>
            </w:pPr>
            <w:r w:rsidRPr="002D6CCA">
              <w:rPr>
                <w:rFonts w:ascii="Calibri" w:hAnsi="Calibri" w:cs="Calibri"/>
                <w:kern w:val="0"/>
                <w:sz w:val="20"/>
                <w:lang w:val="es-CL"/>
              </w:rPr>
              <w:t>2016</w:t>
            </w:r>
          </w:p>
        </w:tc>
      </w:tr>
    </w:tbl>
    <w:p w:rsidR="00135328" w:rsidRPr="00E551B0" w:rsidRDefault="00135328" w:rsidP="00606EAC">
      <w:pPr>
        <w:autoSpaceDE w:val="0"/>
        <w:autoSpaceDN w:val="0"/>
        <w:adjustRightInd w:val="0"/>
        <w:spacing w:after="0"/>
        <w:rPr>
          <w:sz w:val="16"/>
          <w:szCs w:val="16"/>
          <w:highlight w:val="yellow"/>
          <w:lang w:val="es-CL"/>
        </w:rPr>
      </w:pPr>
    </w:p>
    <w:p w:rsidR="00135328" w:rsidRPr="00E551B0" w:rsidRDefault="00135328" w:rsidP="00606EAC">
      <w:pPr>
        <w:autoSpaceDE w:val="0"/>
        <w:autoSpaceDN w:val="0"/>
        <w:adjustRightInd w:val="0"/>
        <w:spacing w:after="0"/>
        <w:rPr>
          <w:sz w:val="22"/>
          <w:szCs w:val="22"/>
          <w:highlight w:val="yellow"/>
          <w:lang w:val="es-CL"/>
        </w:rPr>
      </w:pPr>
    </w:p>
    <w:p w:rsidR="000A157E" w:rsidRPr="00E551B0" w:rsidRDefault="000A157E" w:rsidP="00606EAC">
      <w:pPr>
        <w:autoSpaceDE w:val="0"/>
        <w:autoSpaceDN w:val="0"/>
        <w:adjustRightInd w:val="0"/>
        <w:spacing w:after="0"/>
        <w:rPr>
          <w:sz w:val="22"/>
          <w:szCs w:val="22"/>
          <w:highlight w:val="yellow"/>
          <w:lang w:val="es-CL"/>
        </w:rPr>
      </w:pPr>
    </w:p>
    <w:p w:rsidR="000A157E" w:rsidRPr="00E551B0" w:rsidRDefault="000A157E" w:rsidP="00606EAC">
      <w:pPr>
        <w:autoSpaceDE w:val="0"/>
        <w:autoSpaceDN w:val="0"/>
        <w:adjustRightInd w:val="0"/>
        <w:spacing w:after="0"/>
        <w:rPr>
          <w:sz w:val="22"/>
          <w:szCs w:val="22"/>
          <w:highlight w:val="yellow"/>
          <w:lang w:val="es-CL"/>
        </w:rPr>
      </w:pPr>
    </w:p>
    <w:p w:rsidR="000A157E" w:rsidRPr="00E551B0" w:rsidRDefault="000A157E" w:rsidP="00606EAC">
      <w:pPr>
        <w:autoSpaceDE w:val="0"/>
        <w:autoSpaceDN w:val="0"/>
        <w:adjustRightInd w:val="0"/>
        <w:spacing w:after="0"/>
        <w:rPr>
          <w:sz w:val="22"/>
          <w:szCs w:val="22"/>
          <w:highlight w:val="yellow"/>
          <w:lang w:val="es-CL"/>
        </w:rPr>
        <w:sectPr w:rsidR="000A157E" w:rsidRPr="00E551B0" w:rsidSect="006720D8">
          <w:pgSz w:w="12242" w:h="15842" w:code="1"/>
          <w:pgMar w:top="1145" w:right="1043" w:bottom="1145" w:left="1276" w:header="709" w:footer="709" w:gutter="0"/>
          <w:cols w:space="720"/>
          <w:titlePg/>
          <w:docGrid w:linePitch="360"/>
        </w:sectPr>
      </w:pPr>
    </w:p>
    <w:p w:rsidR="00B306DF" w:rsidRPr="00DD046F" w:rsidRDefault="00AC5D2E" w:rsidP="00270FA8">
      <w:pPr>
        <w:pStyle w:val="Heading2"/>
        <w:spacing w:before="0" w:after="180"/>
        <w:ind w:left="0" w:firstLine="0"/>
        <w:rPr>
          <w:lang w:val="es-CL"/>
        </w:rPr>
      </w:pPr>
      <w:bookmarkStart w:id="118" w:name="_Toc418168909"/>
      <w:r w:rsidRPr="00DD046F">
        <w:rPr>
          <w:lang w:val="es-CL"/>
        </w:rPr>
        <w:t>Desarrollo de mecanismo de financiamiento</w:t>
      </w:r>
      <w:bookmarkEnd w:id="118"/>
    </w:p>
    <w:p w:rsidR="00F10EAC" w:rsidRPr="00270FA8" w:rsidRDefault="00F10EAC" w:rsidP="00606EAC">
      <w:pPr>
        <w:jc w:val="both"/>
        <w:rPr>
          <w:sz w:val="22"/>
          <w:szCs w:val="22"/>
          <w:lang w:val="es-CL"/>
        </w:rPr>
      </w:pPr>
      <w:r w:rsidRPr="00270FA8">
        <w:rPr>
          <w:sz w:val="22"/>
          <w:szCs w:val="22"/>
          <w:lang w:val="es-CL"/>
        </w:rPr>
        <w:t xml:space="preserve">Dentro de la propuesta de estrategia de implementación del GHS, es importante evaluar cuál será el mecanismo de financiamiento en cada uno de los sectores involucrados para ponerla en marcha. </w:t>
      </w:r>
    </w:p>
    <w:p w:rsidR="00F10EAC" w:rsidRDefault="00F10EAC" w:rsidP="00606EAC">
      <w:pPr>
        <w:jc w:val="both"/>
        <w:rPr>
          <w:sz w:val="22"/>
          <w:szCs w:val="22"/>
          <w:lang w:val="es-CL"/>
        </w:rPr>
      </w:pPr>
      <w:r w:rsidRPr="00270FA8">
        <w:rPr>
          <w:sz w:val="22"/>
          <w:szCs w:val="22"/>
          <w:lang w:val="es-CL"/>
        </w:rPr>
        <w:t>En este caso, se debe en primer lugar, llegar a un consenso sobre las actividades a desarrollar en cada sector a partir del cual se presentará a las autoridades correspondientes para que decidan sobre el grado de contribución que cada uno tendrá a la aplicación de la estrategia. Se deben tener presente tanto fuentes de financiamiento internas (Ministerios res</w:t>
      </w:r>
      <w:r w:rsidR="00270FA8">
        <w:rPr>
          <w:sz w:val="22"/>
          <w:szCs w:val="22"/>
          <w:lang w:val="es-CL"/>
        </w:rPr>
        <w:t xml:space="preserve">pectivos) </w:t>
      </w:r>
      <w:r w:rsidRPr="00270FA8">
        <w:rPr>
          <w:sz w:val="22"/>
          <w:szCs w:val="22"/>
          <w:lang w:val="es-CL"/>
        </w:rPr>
        <w:t xml:space="preserve">como externas (organizaciones internacionales, organismos de ayuda, organizaciones regionales, </w:t>
      </w:r>
      <w:r w:rsidR="00F13083" w:rsidRPr="00270FA8">
        <w:rPr>
          <w:sz w:val="22"/>
          <w:szCs w:val="22"/>
          <w:lang w:val="es-CL"/>
        </w:rPr>
        <w:t>etc.</w:t>
      </w:r>
      <w:r w:rsidRPr="00270FA8">
        <w:rPr>
          <w:sz w:val="22"/>
          <w:szCs w:val="22"/>
          <w:lang w:val="es-CL"/>
        </w:rPr>
        <w:t>)</w:t>
      </w:r>
      <w:r w:rsidR="005912F0">
        <w:rPr>
          <w:sz w:val="22"/>
          <w:szCs w:val="22"/>
          <w:lang w:val="es-CL"/>
        </w:rPr>
        <w:t>.</w:t>
      </w:r>
    </w:p>
    <w:p w:rsidR="006E671D" w:rsidRPr="00FE720C" w:rsidRDefault="007A5389" w:rsidP="00606EAC">
      <w:pPr>
        <w:jc w:val="both"/>
        <w:rPr>
          <w:b/>
          <w:sz w:val="22"/>
          <w:szCs w:val="22"/>
          <w:u w:val="single"/>
          <w:lang w:val="es-CL"/>
        </w:rPr>
      </w:pPr>
      <w:r>
        <w:rPr>
          <w:b/>
          <w:sz w:val="22"/>
          <w:szCs w:val="22"/>
          <w:u w:val="single"/>
          <w:lang w:val="es-CL"/>
        </w:rPr>
        <w:t>Objetivo Estrat</w:t>
      </w:r>
      <w:r>
        <w:rPr>
          <w:b/>
          <w:sz w:val="22"/>
          <w:szCs w:val="22"/>
          <w:u w:val="single"/>
        </w:rPr>
        <w:t>égico</w:t>
      </w:r>
      <w:r w:rsidR="006E671D" w:rsidRPr="00FE720C">
        <w:rPr>
          <w:b/>
          <w:sz w:val="22"/>
          <w:szCs w:val="22"/>
          <w:u w:val="single"/>
          <w:lang w:val="es-CL"/>
        </w:rPr>
        <w:t xml:space="preserve"> </w:t>
      </w:r>
      <w:r>
        <w:rPr>
          <w:b/>
          <w:sz w:val="22"/>
          <w:szCs w:val="22"/>
          <w:u w:val="single"/>
        </w:rPr>
        <w:t>5</w:t>
      </w:r>
      <w:r w:rsidR="006E671D" w:rsidRPr="00FE720C">
        <w:rPr>
          <w:b/>
          <w:sz w:val="22"/>
          <w:szCs w:val="22"/>
          <w:u w:val="single"/>
          <w:lang w:val="es-CL"/>
        </w:rPr>
        <w:t>: Desarrollar mecanismos de financiación para la capacitación del personal y actividades relacionadas con la impleme</w:t>
      </w:r>
      <w:r w:rsidR="001B550E" w:rsidRPr="00FE720C">
        <w:rPr>
          <w:b/>
          <w:sz w:val="22"/>
          <w:szCs w:val="22"/>
          <w:u w:val="single"/>
          <w:lang w:val="es-CL"/>
        </w:rPr>
        <w:t>ntación (internos y/o externos)</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6"/>
        <w:gridCol w:w="1655"/>
        <w:gridCol w:w="4430"/>
        <w:gridCol w:w="1438"/>
        <w:gridCol w:w="734"/>
      </w:tblGrid>
      <w:tr w:rsidR="006720D8" w:rsidRPr="00BA10CE" w:rsidTr="00C37B65">
        <w:tc>
          <w:tcPr>
            <w:tcW w:w="760" w:type="pct"/>
            <w:shd w:val="clear" w:color="auto" w:fill="94B6D2"/>
          </w:tcPr>
          <w:p w:rsidR="006720D8" w:rsidRPr="00BA10CE" w:rsidRDefault="006720D8" w:rsidP="00C37B65">
            <w:pPr>
              <w:spacing w:after="0" w:line="240" w:lineRule="auto"/>
              <w:rPr>
                <w:b/>
                <w:bCs/>
                <w:color w:val="FFFFFF"/>
                <w:kern w:val="0"/>
                <w:sz w:val="20"/>
                <w:lang w:val="es-CL"/>
              </w:rPr>
            </w:pPr>
            <w:r w:rsidRPr="00BA10CE">
              <w:rPr>
                <w:b/>
                <w:bCs/>
                <w:color w:val="FFFFFF"/>
                <w:kern w:val="0"/>
                <w:sz w:val="20"/>
                <w:lang w:val="es-CL"/>
              </w:rPr>
              <w:t>Objetivo Específico</w:t>
            </w:r>
          </w:p>
        </w:tc>
        <w:tc>
          <w:tcPr>
            <w:tcW w:w="875" w:type="pct"/>
            <w:shd w:val="clear" w:color="auto" w:fill="94B6D2"/>
          </w:tcPr>
          <w:p w:rsidR="006720D8" w:rsidRPr="00BA10CE" w:rsidRDefault="006720D8" w:rsidP="00C37B65">
            <w:pPr>
              <w:spacing w:after="0" w:line="240" w:lineRule="auto"/>
              <w:rPr>
                <w:b/>
                <w:bCs/>
                <w:color w:val="FFFFFF"/>
                <w:kern w:val="0"/>
                <w:sz w:val="20"/>
                <w:lang w:val="es-CL"/>
              </w:rPr>
            </w:pPr>
            <w:r w:rsidRPr="00BA10CE">
              <w:rPr>
                <w:b/>
                <w:bCs/>
                <w:color w:val="FFFFFF"/>
                <w:kern w:val="0"/>
                <w:sz w:val="20"/>
                <w:lang w:val="es-CL"/>
              </w:rPr>
              <w:t>Metas</w:t>
            </w:r>
          </w:p>
        </w:tc>
        <w:tc>
          <w:tcPr>
            <w:tcW w:w="2317" w:type="pct"/>
            <w:shd w:val="clear" w:color="auto" w:fill="94B6D2"/>
          </w:tcPr>
          <w:p w:rsidR="006720D8" w:rsidRPr="00BA10CE" w:rsidRDefault="006720D8" w:rsidP="00C37B65">
            <w:pPr>
              <w:spacing w:after="0" w:line="240" w:lineRule="auto"/>
              <w:rPr>
                <w:b/>
                <w:bCs/>
                <w:color w:val="FFFFFF"/>
                <w:kern w:val="0"/>
                <w:sz w:val="20"/>
                <w:lang w:val="es-CL"/>
              </w:rPr>
            </w:pPr>
            <w:r w:rsidRPr="00BA10CE">
              <w:rPr>
                <w:b/>
                <w:bCs/>
                <w:color w:val="FFFFFF"/>
                <w:kern w:val="0"/>
                <w:sz w:val="20"/>
                <w:lang w:val="es-CL"/>
              </w:rPr>
              <w:t>Actividades</w:t>
            </w:r>
          </w:p>
        </w:tc>
        <w:tc>
          <w:tcPr>
            <w:tcW w:w="617" w:type="pct"/>
            <w:shd w:val="clear" w:color="auto" w:fill="94B6D2"/>
          </w:tcPr>
          <w:p w:rsidR="006720D8" w:rsidRPr="00BA10CE" w:rsidRDefault="006720D8" w:rsidP="00C37B65">
            <w:pPr>
              <w:spacing w:after="0" w:line="240" w:lineRule="auto"/>
              <w:rPr>
                <w:b/>
                <w:bCs/>
                <w:color w:val="FFFFFF"/>
                <w:kern w:val="0"/>
                <w:sz w:val="20"/>
                <w:lang w:val="es-CL"/>
              </w:rPr>
            </w:pPr>
            <w:r w:rsidRPr="00BA10CE">
              <w:rPr>
                <w:b/>
                <w:bCs/>
                <w:color w:val="FFFFFF"/>
                <w:kern w:val="0"/>
                <w:sz w:val="20"/>
                <w:lang w:val="es-CL"/>
              </w:rPr>
              <w:t>Responsable</w:t>
            </w:r>
          </w:p>
        </w:tc>
        <w:tc>
          <w:tcPr>
            <w:tcW w:w="431" w:type="pct"/>
            <w:shd w:val="clear" w:color="auto" w:fill="94B6D2"/>
          </w:tcPr>
          <w:p w:rsidR="006720D8" w:rsidRPr="00BA10CE" w:rsidRDefault="006720D8" w:rsidP="00C37B65">
            <w:pPr>
              <w:spacing w:after="0" w:line="240" w:lineRule="auto"/>
              <w:rPr>
                <w:b/>
                <w:bCs/>
                <w:color w:val="FFFFFF"/>
                <w:kern w:val="0"/>
                <w:sz w:val="20"/>
                <w:lang w:val="es-CL"/>
              </w:rPr>
            </w:pPr>
            <w:r w:rsidRPr="00BA10CE">
              <w:rPr>
                <w:b/>
                <w:bCs/>
                <w:color w:val="FFFFFF"/>
                <w:kern w:val="0"/>
                <w:sz w:val="20"/>
                <w:lang w:val="es-CL"/>
              </w:rPr>
              <w:t>Plazo</w:t>
            </w:r>
          </w:p>
        </w:tc>
      </w:tr>
      <w:tr w:rsidR="006720D8" w:rsidRPr="00BA10CE" w:rsidTr="00C37B65">
        <w:trPr>
          <w:trHeight w:val="1320"/>
        </w:trPr>
        <w:tc>
          <w:tcPr>
            <w:tcW w:w="760" w:type="pct"/>
            <w:vMerge w:val="restart"/>
          </w:tcPr>
          <w:p w:rsidR="006720D8" w:rsidRPr="00BA10CE" w:rsidRDefault="006720D8" w:rsidP="00C37B65">
            <w:pPr>
              <w:spacing w:after="0" w:line="240" w:lineRule="auto"/>
              <w:rPr>
                <w:b/>
                <w:bCs/>
                <w:kern w:val="0"/>
                <w:sz w:val="20"/>
                <w:lang w:val="es-CL"/>
              </w:rPr>
            </w:pPr>
            <w:r w:rsidRPr="00BA10CE">
              <w:rPr>
                <w:b/>
                <w:bCs/>
                <w:kern w:val="0"/>
                <w:sz w:val="20"/>
                <w:lang w:val="es-CL"/>
              </w:rPr>
              <w:t>1)Establecer estrategias sectoriales de financiamiento</w:t>
            </w:r>
          </w:p>
        </w:tc>
        <w:tc>
          <w:tcPr>
            <w:tcW w:w="875" w:type="pct"/>
          </w:tcPr>
          <w:p w:rsidR="006720D8" w:rsidRPr="00BA10CE" w:rsidRDefault="006720D8" w:rsidP="00C37B65">
            <w:pPr>
              <w:pStyle w:val="Default"/>
              <w:rPr>
                <w:rFonts w:ascii="Tw Cen MT" w:hAnsi="Tw Cen MT" w:cs="Tw Cen MT"/>
                <w:sz w:val="20"/>
                <w:szCs w:val="20"/>
                <w:lang w:val="es-CL"/>
              </w:rPr>
            </w:pPr>
            <w:r w:rsidRPr="00BA10CE">
              <w:rPr>
                <w:rFonts w:ascii="Tw Cen MT" w:hAnsi="Tw Cen MT" w:cs="Tw Cen MT"/>
                <w:sz w:val="20"/>
                <w:szCs w:val="20"/>
                <w:lang w:val="es-CL"/>
              </w:rPr>
              <w:t>1.1) Evaluar disponibilidad de recursos en sector</w:t>
            </w:r>
            <w:r>
              <w:rPr>
                <w:rFonts w:ascii="Tw Cen MT" w:hAnsi="Tw Cen MT" w:cs="Tw Cen MT"/>
                <w:sz w:val="20"/>
                <w:szCs w:val="20"/>
                <w:lang w:val="es-CL"/>
              </w:rPr>
              <w:t xml:space="preserve"> público y privado</w:t>
            </w:r>
          </w:p>
          <w:p w:rsidR="006720D8" w:rsidRPr="00BA10CE" w:rsidRDefault="006720D8" w:rsidP="00C37B65">
            <w:pPr>
              <w:pStyle w:val="Default"/>
              <w:rPr>
                <w:rFonts w:ascii="Tw Cen MT" w:hAnsi="Tw Cen MT" w:cs="Tw Cen MT"/>
                <w:sz w:val="20"/>
                <w:szCs w:val="20"/>
                <w:lang w:val="es-CL"/>
              </w:rPr>
            </w:pPr>
          </w:p>
        </w:tc>
        <w:tc>
          <w:tcPr>
            <w:tcW w:w="2317" w:type="pct"/>
          </w:tcPr>
          <w:p w:rsidR="006720D8" w:rsidRDefault="006720D8" w:rsidP="00C37B65">
            <w:pPr>
              <w:spacing w:after="0" w:line="240" w:lineRule="auto"/>
              <w:rPr>
                <w:kern w:val="0"/>
                <w:sz w:val="20"/>
                <w:lang w:val="es-CL"/>
              </w:rPr>
            </w:pPr>
            <w:r w:rsidRPr="00BA10CE">
              <w:rPr>
                <w:kern w:val="0"/>
                <w:sz w:val="20"/>
                <w:lang w:val="es-CL"/>
              </w:rPr>
              <w:t xml:space="preserve">1.1.1) Analizar los costos asociados al plan de implementación del GHS en cada sector </w:t>
            </w:r>
          </w:p>
          <w:p w:rsidR="006720D8" w:rsidRPr="00BA10CE" w:rsidRDefault="006720D8" w:rsidP="00C37B65">
            <w:pPr>
              <w:spacing w:after="0" w:line="240" w:lineRule="auto"/>
              <w:rPr>
                <w:kern w:val="0"/>
                <w:sz w:val="20"/>
                <w:lang w:val="es-CL"/>
              </w:rPr>
            </w:pPr>
            <w:r w:rsidRPr="00BA10CE">
              <w:rPr>
                <w:kern w:val="0"/>
                <w:sz w:val="20"/>
                <w:lang w:val="es-CL"/>
              </w:rPr>
              <w:t xml:space="preserve">1.1.2) </w:t>
            </w:r>
            <w:r>
              <w:rPr>
                <w:kern w:val="0"/>
                <w:sz w:val="20"/>
                <w:lang w:val="es-CL"/>
              </w:rPr>
              <w:t>Cada sector deberá identificar los recursos disponibles para apoyar la  implementación del GHS</w:t>
            </w:r>
          </w:p>
          <w:p w:rsidR="006720D8" w:rsidRPr="00BA10CE" w:rsidRDefault="006720D8" w:rsidP="00C37B65">
            <w:pPr>
              <w:spacing w:after="0" w:line="240" w:lineRule="auto"/>
              <w:rPr>
                <w:kern w:val="0"/>
                <w:sz w:val="20"/>
                <w:lang w:val="es-CL"/>
              </w:rPr>
            </w:pPr>
          </w:p>
        </w:tc>
        <w:tc>
          <w:tcPr>
            <w:tcW w:w="617" w:type="pct"/>
          </w:tcPr>
          <w:p w:rsidR="006720D8" w:rsidRPr="00BA10CE" w:rsidRDefault="006720D8" w:rsidP="00C37B65">
            <w:pPr>
              <w:spacing w:after="0" w:line="240" w:lineRule="auto"/>
              <w:rPr>
                <w:kern w:val="0"/>
                <w:sz w:val="20"/>
                <w:lang w:val="es-CL"/>
              </w:rPr>
            </w:pPr>
            <w:r>
              <w:rPr>
                <w:kern w:val="0"/>
                <w:sz w:val="20"/>
                <w:lang w:val="es-CL"/>
              </w:rPr>
              <w:t>Sector público y privado</w:t>
            </w:r>
          </w:p>
        </w:tc>
        <w:tc>
          <w:tcPr>
            <w:tcW w:w="431" w:type="pct"/>
          </w:tcPr>
          <w:p w:rsidR="006720D8" w:rsidRPr="00BA10CE" w:rsidRDefault="006720D8" w:rsidP="00C37B65">
            <w:pPr>
              <w:spacing w:after="0" w:line="240" w:lineRule="auto"/>
              <w:rPr>
                <w:kern w:val="0"/>
                <w:sz w:val="20"/>
                <w:lang w:val="es-CL"/>
              </w:rPr>
            </w:pPr>
            <w:r>
              <w:rPr>
                <w:kern w:val="0"/>
                <w:sz w:val="20"/>
                <w:lang w:val="es-CL"/>
              </w:rPr>
              <w:t>2016</w:t>
            </w:r>
          </w:p>
        </w:tc>
      </w:tr>
      <w:tr w:rsidR="006720D8" w:rsidRPr="00BA10CE" w:rsidTr="00C37B65">
        <w:trPr>
          <w:trHeight w:val="984"/>
        </w:trPr>
        <w:tc>
          <w:tcPr>
            <w:tcW w:w="760" w:type="pct"/>
            <w:vMerge/>
          </w:tcPr>
          <w:p w:rsidR="006720D8" w:rsidRPr="00BA10CE" w:rsidRDefault="006720D8" w:rsidP="00C37B65">
            <w:pPr>
              <w:spacing w:after="0" w:line="240" w:lineRule="auto"/>
              <w:rPr>
                <w:b/>
                <w:bCs/>
                <w:kern w:val="0"/>
                <w:sz w:val="20"/>
                <w:lang w:val="es-CL"/>
              </w:rPr>
            </w:pPr>
          </w:p>
        </w:tc>
        <w:tc>
          <w:tcPr>
            <w:tcW w:w="875" w:type="pct"/>
          </w:tcPr>
          <w:p w:rsidR="006720D8" w:rsidRPr="00BA10CE" w:rsidRDefault="006720D8" w:rsidP="00C37B65">
            <w:pPr>
              <w:pStyle w:val="Default"/>
              <w:rPr>
                <w:rFonts w:ascii="Tw Cen MT" w:hAnsi="Tw Cen MT" w:cs="Tw Cen MT"/>
                <w:sz w:val="20"/>
                <w:szCs w:val="20"/>
                <w:lang w:val="es-CL"/>
              </w:rPr>
            </w:pPr>
            <w:r w:rsidRPr="00BA10CE">
              <w:rPr>
                <w:rFonts w:ascii="Tw Cen MT" w:hAnsi="Tw Cen MT" w:cs="Tw Cen MT"/>
                <w:sz w:val="20"/>
                <w:szCs w:val="20"/>
                <w:lang w:val="es-CL"/>
              </w:rPr>
              <w:t>1.2) Desarrollar mecanismos de financiamiento para las distintas actividades</w:t>
            </w:r>
          </w:p>
        </w:tc>
        <w:tc>
          <w:tcPr>
            <w:tcW w:w="2317" w:type="pct"/>
          </w:tcPr>
          <w:p w:rsidR="006720D8" w:rsidRPr="00BA10CE" w:rsidRDefault="006720D8" w:rsidP="00C37B65">
            <w:pPr>
              <w:spacing w:after="0" w:line="240" w:lineRule="auto"/>
              <w:rPr>
                <w:kern w:val="0"/>
                <w:sz w:val="20"/>
                <w:lang w:val="es-CL"/>
              </w:rPr>
            </w:pPr>
            <w:r w:rsidRPr="00BA10CE">
              <w:rPr>
                <w:kern w:val="0"/>
                <w:sz w:val="20"/>
                <w:lang w:val="es-CL"/>
              </w:rPr>
              <w:t xml:space="preserve">1.2.1) </w:t>
            </w:r>
            <w:r>
              <w:rPr>
                <w:kern w:val="0"/>
                <w:sz w:val="20"/>
                <w:lang w:val="es-CL"/>
              </w:rPr>
              <w:t xml:space="preserve">Revisión </w:t>
            </w:r>
            <w:r w:rsidRPr="00BA10CE">
              <w:rPr>
                <w:kern w:val="0"/>
                <w:sz w:val="20"/>
                <w:lang w:val="es-CL"/>
              </w:rPr>
              <w:t>de entidades internacionales (organizaciones de asistencias bilaterales, etc.)</w:t>
            </w:r>
            <w:r>
              <w:rPr>
                <w:kern w:val="0"/>
                <w:sz w:val="20"/>
                <w:lang w:val="es-CL"/>
              </w:rPr>
              <w:t xml:space="preserve"> que puedan apoyar implementación.</w:t>
            </w:r>
          </w:p>
          <w:p w:rsidR="006720D8" w:rsidRPr="00BA10CE" w:rsidRDefault="006720D8" w:rsidP="00C37B65">
            <w:pPr>
              <w:spacing w:after="0" w:line="240" w:lineRule="auto"/>
              <w:rPr>
                <w:kern w:val="0"/>
                <w:sz w:val="20"/>
                <w:lang w:val="es-CL"/>
              </w:rPr>
            </w:pPr>
            <w:r w:rsidRPr="00BA10CE">
              <w:rPr>
                <w:kern w:val="0"/>
                <w:sz w:val="20"/>
                <w:lang w:val="es-CL"/>
              </w:rPr>
              <w:t>1.2.2) Desarrollar actividades de cooperación entre los sectores y las fuentes de financiamiento externas</w:t>
            </w:r>
          </w:p>
          <w:p w:rsidR="006720D8" w:rsidRDefault="006720D8" w:rsidP="00C37B65">
            <w:pPr>
              <w:spacing w:after="0" w:line="240" w:lineRule="auto"/>
              <w:rPr>
                <w:kern w:val="0"/>
                <w:sz w:val="20"/>
                <w:lang w:val="es-CL"/>
              </w:rPr>
            </w:pPr>
            <w:r w:rsidRPr="00BA10CE">
              <w:rPr>
                <w:kern w:val="0"/>
                <w:sz w:val="20"/>
                <w:lang w:val="es-CL"/>
              </w:rPr>
              <w:t xml:space="preserve">1.2.3) </w:t>
            </w:r>
            <w:r>
              <w:rPr>
                <w:kern w:val="0"/>
                <w:sz w:val="20"/>
                <w:lang w:val="es-CL"/>
              </w:rPr>
              <w:t>Generar líneas de financiamiento para sector privado.</w:t>
            </w:r>
          </w:p>
          <w:p w:rsidR="006720D8" w:rsidRPr="00BA10CE" w:rsidRDefault="006720D8" w:rsidP="00C37B65">
            <w:pPr>
              <w:spacing w:after="0" w:line="240" w:lineRule="auto"/>
              <w:rPr>
                <w:kern w:val="0"/>
                <w:sz w:val="20"/>
                <w:lang w:val="es-CL"/>
              </w:rPr>
            </w:pPr>
            <w:r>
              <w:rPr>
                <w:kern w:val="0"/>
                <w:sz w:val="20"/>
                <w:lang w:val="es-CL"/>
              </w:rPr>
              <w:t xml:space="preserve">1.2.4) </w:t>
            </w:r>
            <w:r w:rsidRPr="00BA10CE">
              <w:rPr>
                <w:kern w:val="0"/>
                <w:sz w:val="20"/>
                <w:lang w:val="es-CL"/>
              </w:rPr>
              <w:t xml:space="preserve">Promover la asignación de recursos </w:t>
            </w:r>
            <w:r>
              <w:rPr>
                <w:kern w:val="0"/>
                <w:sz w:val="20"/>
                <w:lang w:val="es-CL"/>
              </w:rPr>
              <w:t>para el sector público</w:t>
            </w:r>
          </w:p>
        </w:tc>
        <w:tc>
          <w:tcPr>
            <w:tcW w:w="617" w:type="pct"/>
          </w:tcPr>
          <w:p w:rsidR="006720D8" w:rsidRPr="00BA10CE" w:rsidRDefault="006720D8" w:rsidP="00C37B65">
            <w:pPr>
              <w:spacing w:after="0" w:line="240" w:lineRule="auto"/>
              <w:rPr>
                <w:kern w:val="0"/>
                <w:sz w:val="20"/>
                <w:lang w:val="es-CL"/>
              </w:rPr>
            </w:pPr>
            <w:r>
              <w:rPr>
                <w:kern w:val="0"/>
                <w:sz w:val="20"/>
                <w:lang w:val="es-CL"/>
              </w:rPr>
              <w:t>Sector público y privado</w:t>
            </w:r>
          </w:p>
        </w:tc>
        <w:tc>
          <w:tcPr>
            <w:tcW w:w="431" w:type="pct"/>
          </w:tcPr>
          <w:p w:rsidR="006720D8" w:rsidRPr="00BA10CE" w:rsidRDefault="006720D8" w:rsidP="00C37B65">
            <w:pPr>
              <w:spacing w:after="0" w:line="240" w:lineRule="auto"/>
              <w:rPr>
                <w:kern w:val="0"/>
                <w:sz w:val="20"/>
                <w:lang w:val="es-CL"/>
              </w:rPr>
            </w:pPr>
            <w:r>
              <w:rPr>
                <w:kern w:val="0"/>
                <w:sz w:val="20"/>
                <w:lang w:val="es-CL"/>
              </w:rPr>
              <w:t>2016</w:t>
            </w:r>
          </w:p>
        </w:tc>
      </w:tr>
    </w:tbl>
    <w:p w:rsidR="00966A76" w:rsidRPr="00E551B0" w:rsidRDefault="00966A76" w:rsidP="00606EAC">
      <w:pPr>
        <w:jc w:val="both"/>
        <w:rPr>
          <w:b/>
          <w:sz w:val="22"/>
          <w:szCs w:val="22"/>
          <w:highlight w:val="yellow"/>
          <w:u w:val="single"/>
        </w:rPr>
      </w:pPr>
    </w:p>
    <w:p w:rsidR="00067CAA" w:rsidRDefault="00067CAA" w:rsidP="00606EAC">
      <w:pPr>
        <w:autoSpaceDE w:val="0"/>
        <w:autoSpaceDN w:val="0"/>
        <w:adjustRightInd w:val="0"/>
        <w:jc w:val="both"/>
        <w:rPr>
          <w:rFonts w:ascii="Arial" w:hAnsi="Arial" w:cs="Arial"/>
          <w:sz w:val="20"/>
          <w:highlight w:val="yellow"/>
        </w:rPr>
      </w:pPr>
      <w:bookmarkStart w:id="119" w:name="_Toc389058138"/>
      <w:bookmarkStart w:id="120" w:name="_Toc389058422"/>
      <w:bookmarkStart w:id="121" w:name="_Toc389058617"/>
      <w:bookmarkEnd w:id="7"/>
    </w:p>
    <w:p w:rsidR="00F13083" w:rsidRPr="00E551B0" w:rsidRDefault="00F13083" w:rsidP="00606EAC">
      <w:pPr>
        <w:autoSpaceDE w:val="0"/>
        <w:autoSpaceDN w:val="0"/>
        <w:adjustRightInd w:val="0"/>
        <w:jc w:val="both"/>
        <w:rPr>
          <w:rFonts w:ascii="Arial" w:hAnsi="Arial" w:cs="Arial"/>
          <w:sz w:val="20"/>
          <w:highlight w:val="yellow"/>
        </w:rPr>
      </w:pPr>
    </w:p>
    <w:p w:rsidR="005D2359" w:rsidRPr="002B6765" w:rsidRDefault="008B2DC1" w:rsidP="005D2359">
      <w:pPr>
        <w:pStyle w:val="Heading2"/>
        <w:spacing w:before="0" w:after="180"/>
        <w:ind w:left="0" w:firstLine="0"/>
        <w:rPr>
          <w:lang w:val="es-CL"/>
        </w:rPr>
      </w:pPr>
      <w:bookmarkStart w:id="122" w:name="_Toc418168910"/>
      <w:bookmarkEnd w:id="119"/>
      <w:bookmarkEnd w:id="120"/>
      <w:bookmarkEnd w:id="121"/>
      <w:r w:rsidRPr="002B6765">
        <w:t>Elaboración marco normativo para implementación del GHS</w:t>
      </w:r>
      <w:bookmarkEnd w:id="122"/>
    </w:p>
    <w:p w:rsidR="008B2DC1" w:rsidRPr="002B6765" w:rsidRDefault="005D2359" w:rsidP="005D2359">
      <w:pPr>
        <w:jc w:val="both"/>
        <w:rPr>
          <w:sz w:val="22"/>
          <w:szCs w:val="22"/>
        </w:rPr>
      </w:pPr>
      <w:r w:rsidRPr="002B6765">
        <w:rPr>
          <w:sz w:val="22"/>
          <w:szCs w:val="22"/>
          <w:lang w:val="es-CL"/>
        </w:rPr>
        <w:t xml:space="preserve">Dentro de la propuesta de estrategia de implementación del GHS, es importante </w:t>
      </w:r>
      <w:r w:rsidR="008B2DC1" w:rsidRPr="002B6765">
        <w:rPr>
          <w:sz w:val="22"/>
          <w:szCs w:val="22"/>
        </w:rPr>
        <w:t>establecer las actividades destinadas a elaborar y difundir el marco normativ</w:t>
      </w:r>
      <w:r w:rsidR="006F792B">
        <w:rPr>
          <w:sz w:val="22"/>
          <w:szCs w:val="22"/>
        </w:rPr>
        <w:t>o</w:t>
      </w:r>
      <w:r w:rsidR="008B2DC1" w:rsidRPr="002B6765">
        <w:rPr>
          <w:sz w:val="22"/>
          <w:szCs w:val="22"/>
        </w:rPr>
        <w:t xml:space="preserve"> que regirá la implementación del GHS en el país.</w:t>
      </w:r>
    </w:p>
    <w:p w:rsidR="008B2DC1" w:rsidRPr="002B6765" w:rsidRDefault="008B2DC1" w:rsidP="005D2359">
      <w:pPr>
        <w:jc w:val="both"/>
        <w:rPr>
          <w:sz w:val="22"/>
          <w:szCs w:val="22"/>
        </w:rPr>
      </w:pPr>
      <w:r w:rsidRPr="002B6765">
        <w:rPr>
          <w:sz w:val="22"/>
          <w:szCs w:val="22"/>
        </w:rPr>
        <w:t>Entre las actividades a desarrollar se incluye la formalización del GHS a través de una propuesta de Reglamento el cual deberá ser revisado y adaptado a la realidad nacional y su posterior difusión</w:t>
      </w:r>
      <w:r w:rsidR="002B6765" w:rsidRPr="002B6765">
        <w:rPr>
          <w:sz w:val="22"/>
          <w:szCs w:val="22"/>
        </w:rPr>
        <w:t xml:space="preserve"> hacia los sectores involucrados.</w:t>
      </w:r>
    </w:p>
    <w:p w:rsidR="005D2359" w:rsidRPr="002B6765" w:rsidRDefault="005D2359" w:rsidP="005D2359">
      <w:pPr>
        <w:jc w:val="both"/>
        <w:rPr>
          <w:b/>
          <w:sz w:val="22"/>
          <w:szCs w:val="22"/>
          <w:u w:val="single"/>
          <w:lang w:val="es-CL"/>
        </w:rPr>
      </w:pPr>
      <w:r w:rsidRPr="002B6765">
        <w:rPr>
          <w:b/>
          <w:sz w:val="22"/>
          <w:szCs w:val="22"/>
          <w:u w:val="single"/>
          <w:lang w:val="es-CL"/>
        </w:rPr>
        <w:t>Objetivo Estrat</w:t>
      </w:r>
      <w:r w:rsidRPr="002B6765">
        <w:rPr>
          <w:b/>
          <w:sz w:val="22"/>
          <w:szCs w:val="22"/>
          <w:u w:val="single"/>
        </w:rPr>
        <w:t>égico</w:t>
      </w:r>
      <w:r w:rsidRPr="002B6765">
        <w:rPr>
          <w:b/>
          <w:sz w:val="22"/>
          <w:szCs w:val="22"/>
          <w:u w:val="single"/>
          <w:lang w:val="es-CL"/>
        </w:rPr>
        <w:t xml:space="preserve"> </w:t>
      </w:r>
      <w:r w:rsidR="002B6765" w:rsidRPr="002B6765">
        <w:rPr>
          <w:b/>
          <w:sz w:val="22"/>
          <w:szCs w:val="22"/>
          <w:u w:val="single"/>
        </w:rPr>
        <w:t>6</w:t>
      </w:r>
      <w:r w:rsidRPr="002B6765">
        <w:rPr>
          <w:b/>
          <w:sz w:val="22"/>
          <w:szCs w:val="22"/>
          <w:u w:val="single"/>
          <w:lang w:val="es-CL"/>
        </w:rPr>
        <w:t>:</w:t>
      </w:r>
      <w:r w:rsidR="002B6765" w:rsidRPr="002B6765">
        <w:rPr>
          <w:b/>
          <w:sz w:val="22"/>
          <w:szCs w:val="22"/>
          <w:u w:val="single"/>
        </w:rPr>
        <w:t xml:space="preserve"> Elaborar marco normativo para la implementación del GHS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0"/>
        <w:gridCol w:w="1851"/>
        <w:gridCol w:w="3947"/>
        <w:gridCol w:w="1562"/>
        <w:gridCol w:w="989"/>
      </w:tblGrid>
      <w:tr w:rsidR="006720D8" w:rsidRPr="00804B0C" w:rsidTr="00C37B65">
        <w:tc>
          <w:tcPr>
            <w:tcW w:w="2057" w:type="dxa"/>
            <w:shd w:val="clear" w:color="auto" w:fill="94B6D2"/>
            <w:vAlign w:val="center"/>
          </w:tcPr>
          <w:p w:rsidR="006720D8" w:rsidRPr="00804B0C" w:rsidRDefault="006720D8" w:rsidP="00C37B65">
            <w:pPr>
              <w:spacing w:after="0" w:line="240" w:lineRule="auto"/>
              <w:jc w:val="center"/>
              <w:rPr>
                <w:b/>
                <w:bCs/>
                <w:color w:val="FFFFFF"/>
                <w:kern w:val="0"/>
                <w:sz w:val="20"/>
                <w:lang w:val="es-CL"/>
              </w:rPr>
            </w:pPr>
            <w:r w:rsidRPr="00804B0C">
              <w:rPr>
                <w:b/>
                <w:bCs/>
                <w:color w:val="FFFFFF"/>
                <w:kern w:val="0"/>
                <w:sz w:val="20"/>
                <w:lang w:val="es-CL"/>
              </w:rPr>
              <w:t>Objetivo Específico</w:t>
            </w:r>
          </w:p>
        </w:tc>
        <w:tc>
          <w:tcPr>
            <w:tcW w:w="2410" w:type="dxa"/>
            <w:shd w:val="clear" w:color="auto" w:fill="94B6D2"/>
            <w:vAlign w:val="center"/>
          </w:tcPr>
          <w:p w:rsidR="006720D8" w:rsidRPr="00804B0C" w:rsidRDefault="006720D8" w:rsidP="00C37B65">
            <w:pPr>
              <w:spacing w:after="0" w:line="240" w:lineRule="auto"/>
              <w:jc w:val="center"/>
              <w:rPr>
                <w:b/>
                <w:bCs/>
                <w:color w:val="FFFFFF"/>
                <w:kern w:val="0"/>
                <w:sz w:val="20"/>
                <w:lang w:val="es-CL"/>
              </w:rPr>
            </w:pPr>
            <w:r w:rsidRPr="00804B0C">
              <w:rPr>
                <w:b/>
                <w:bCs/>
                <w:color w:val="FFFFFF"/>
                <w:kern w:val="0"/>
                <w:sz w:val="20"/>
                <w:lang w:val="es-CL"/>
              </w:rPr>
              <w:t>Metas</w:t>
            </w:r>
          </w:p>
        </w:tc>
        <w:tc>
          <w:tcPr>
            <w:tcW w:w="6379" w:type="dxa"/>
            <w:shd w:val="clear" w:color="auto" w:fill="94B6D2"/>
            <w:vAlign w:val="center"/>
          </w:tcPr>
          <w:p w:rsidR="006720D8" w:rsidRPr="00804B0C" w:rsidRDefault="006720D8" w:rsidP="00C37B65">
            <w:pPr>
              <w:spacing w:after="0" w:line="240" w:lineRule="auto"/>
              <w:jc w:val="center"/>
              <w:rPr>
                <w:b/>
                <w:bCs/>
                <w:color w:val="FFFFFF"/>
                <w:kern w:val="0"/>
                <w:sz w:val="20"/>
                <w:lang w:val="es-CL"/>
              </w:rPr>
            </w:pPr>
            <w:r w:rsidRPr="00804B0C">
              <w:rPr>
                <w:b/>
                <w:bCs/>
                <w:color w:val="FFFFFF"/>
                <w:kern w:val="0"/>
                <w:sz w:val="20"/>
                <w:lang w:val="es-CL"/>
              </w:rPr>
              <w:t>Actividades</w:t>
            </w:r>
          </w:p>
        </w:tc>
        <w:tc>
          <w:tcPr>
            <w:tcW w:w="1701" w:type="dxa"/>
            <w:shd w:val="clear" w:color="auto" w:fill="94B6D2"/>
            <w:vAlign w:val="center"/>
          </w:tcPr>
          <w:p w:rsidR="006720D8" w:rsidRPr="00804B0C" w:rsidRDefault="006720D8" w:rsidP="00C37B65">
            <w:pPr>
              <w:spacing w:after="0" w:line="240" w:lineRule="auto"/>
              <w:jc w:val="center"/>
              <w:rPr>
                <w:b/>
                <w:bCs/>
                <w:color w:val="FFFFFF"/>
                <w:kern w:val="0"/>
                <w:sz w:val="20"/>
                <w:lang w:val="es-CL"/>
              </w:rPr>
            </w:pPr>
            <w:r w:rsidRPr="00804B0C">
              <w:rPr>
                <w:b/>
                <w:bCs/>
                <w:color w:val="FFFFFF"/>
                <w:kern w:val="0"/>
                <w:sz w:val="20"/>
                <w:lang w:val="es-CL"/>
              </w:rPr>
              <w:t>Responsable</w:t>
            </w:r>
          </w:p>
        </w:tc>
        <w:tc>
          <w:tcPr>
            <w:tcW w:w="1275" w:type="dxa"/>
            <w:shd w:val="clear" w:color="auto" w:fill="94B6D2"/>
            <w:vAlign w:val="center"/>
          </w:tcPr>
          <w:p w:rsidR="006720D8" w:rsidRPr="00804B0C" w:rsidRDefault="006720D8" w:rsidP="00C37B65">
            <w:pPr>
              <w:spacing w:after="0" w:line="240" w:lineRule="auto"/>
              <w:jc w:val="center"/>
              <w:rPr>
                <w:b/>
                <w:bCs/>
                <w:color w:val="FFFFFF"/>
                <w:kern w:val="0"/>
                <w:sz w:val="20"/>
                <w:lang w:val="es-CL"/>
              </w:rPr>
            </w:pPr>
            <w:r w:rsidRPr="00804B0C">
              <w:rPr>
                <w:b/>
                <w:bCs/>
                <w:color w:val="FFFFFF"/>
                <w:kern w:val="0"/>
                <w:sz w:val="20"/>
                <w:lang w:val="es-CL"/>
              </w:rPr>
              <w:t>Plazo</w:t>
            </w:r>
          </w:p>
        </w:tc>
      </w:tr>
      <w:tr w:rsidR="006720D8" w:rsidRPr="00804B0C" w:rsidTr="00C37B65">
        <w:trPr>
          <w:trHeight w:val="518"/>
        </w:trPr>
        <w:tc>
          <w:tcPr>
            <w:tcW w:w="2057" w:type="dxa"/>
            <w:vMerge w:val="restart"/>
          </w:tcPr>
          <w:p w:rsidR="006720D8" w:rsidRPr="00804B0C" w:rsidRDefault="006720D8" w:rsidP="00C37B65">
            <w:pPr>
              <w:spacing w:after="0" w:line="240" w:lineRule="auto"/>
              <w:rPr>
                <w:b/>
                <w:bCs/>
                <w:kern w:val="0"/>
                <w:sz w:val="20"/>
                <w:highlight w:val="yellow"/>
              </w:rPr>
            </w:pPr>
            <w:r>
              <w:rPr>
                <w:b/>
                <w:bCs/>
                <w:kern w:val="0"/>
                <w:sz w:val="20"/>
              </w:rPr>
              <w:t>1</w:t>
            </w:r>
            <w:r w:rsidRPr="00804B0C">
              <w:rPr>
                <w:b/>
                <w:bCs/>
                <w:kern w:val="0"/>
                <w:sz w:val="20"/>
              </w:rPr>
              <w:t xml:space="preserve">) </w:t>
            </w:r>
            <w:r>
              <w:rPr>
                <w:b/>
                <w:bCs/>
                <w:kern w:val="0"/>
                <w:sz w:val="20"/>
              </w:rPr>
              <w:t>Contar con una propuesta de reglamento del GHS</w:t>
            </w:r>
          </w:p>
        </w:tc>
        <w:tc>
          <w:tcPr>
            <w:tcW w:w="2410" w:type="dxa"/>
          </w:tcPr>
          <w:p w:rsidR="006720D8" w:rsidRPr="00804B0C" w:rsidRDefault="006720D8" w:rsidP="00C37B65">
            <w:pPr>
              <w:spacing w:after="0" w:line="240" w:lineRule="auto"/>
              <w:rPr>
                <w:kern w:val="0"/>
                <w:sz w:val="20"/>
                <w:lang w:val="es-ES"/>
              </w:rPr>
            </w:pPr>
            <w:r>
              <w:rPr>
                <w:kern w:val="0"/>
                <w:sz w:val="20"/>
              </w:rPr>
              <w:t>1</w:t>
            </w:r>
            <w:r w:rsidRPr="00804B0C">
              <w:rPr>
                <w:kern w:val="0"/>
                <w:sz w:val="20"/>
              </w:rPr>
              <w:t>.1</w:t>
            </w:r>
            <w:r w:rsidRPr="00804B0C">
              <w:rPr>
                <w:kern w:val="0"/>
                <w:sz w:val="20"/>
                <w:lang w:val="es-ES"/>
              </w:rPr>
              <w:t xml:space="preserve">) </w:t>
            </w:r>
            <w:r>
              <w:rPr>
                <w:kern w:val="0"/>
                <w:sz w:val="20"/>
                <w:lang w:val="es-ES"/>
              </w:rPr>
              <w:t>Formar Grupo de Trabajo para elaborar propuesta</w:t>
            </w:r>
          </w:p>
        </w:tc>
        <w:tc>
          <w:tcPr>
            <w:tcW w:w="6379" w:type="dxa"/>
          </w:tcPr>
          <w:p w:rsidR="006720D8" w:rsidRPr="00F13083" w:rsidRDefault="006720D8" w:rsidP="00C37B65">
            <w:pPr>
              <w:spacing w:after="0" w:line="240" w:lineRule="auto"/>
              <w:rPr>
                <w:kern w:val="0"/>
                <w:sz w:val="20"/>
                <w:lang w:val="es-CL"/>
              </w:rPr>
            </w:pPr>
            <w:r w:rsidRPr="00F13083">
              <w:rPr>
                <w:kern w:val="0"/>
                <w:sz w:val="20"/>
                <w:lang w:val="es-ES"/>
              </w:rPr>
              <w:t>1</w:t>
            </w:r>
            <w:r w:rsidRPr="00F13083">
              <w:rPr>
                <w:kern w:val="0"/>
                <w:sz w:val="20"/>
                <w:lang w:val="es-CL"/>
              </w:rPr>
              <w:t>.1.1) Identificar sectores que deben participar</w:t>
            </w:r>
          </w:p>
          <w:p w:rsidR="006720D8" w:rsidRPr="00F13083" w:rsidRDefault="006720D8" w:rsidP="00C37B65">
            <w:pPr>
              <w:spacing w:after="0" w:line="240" w:lineRule="auto"/>
              <w:rPr>
                <w:kern w:val="0"/>
                <w:sz w:val="20"/>
                <w:lang w:val="es-CL"/>
              </w:rPr>
            </w:pPr>
            <w:r w:rsidRPr="00F13083">
              <w:rPr>
                <w:kern w:val="0"/>
                <w:sz w:val="20"/>
                <w:lang w:val="es-CL"/>
              </w:rPr>
              <w:t>1.1.2) Formalizar participación</w:t>
            </w:r>
          </w:p>
          <w:p w:rsidR="006720D8" w:rsidRPr="00F13083" w:rsidRDefault="006720D8" w:rsidP="00C37B65">
            <w:pPr>
              <w:spacing w:after="0" w:line="240" w:lineRule="auto"/>
              <w:rPr>
                <w:kern w:val="0"/>
                <w:sz w:val="20"/>
                <w:lang w:val="es-CL"/>
              </w:rPr>
            </w:pPr>
          </w:p>
        </w:tc>
        <w:tc>
          <w:tcPr>
            <w:tcW w:w="1701" w:type="dxa"/>
            <w:vMerge w:val="restart"/>
          </w:tcPr>
          <w:p w:rsidR="006720D8" w:rsidRPr="00804B0C" w:rsidRDefault="006720D8" w:rsidP="00C37B65">
            <w:pPr>
              <w:spacing w:after="0" w:line="240" w:lineRule="auto"/>
              <w:rPr>
                <w:kern w:val="0"/>
                <w:sz w:val="20"/>
                <w:lang w:val="es-CL"/>
              </w:rPr>
            </w:pPr>
            <w:r>
              <w:rPr>
                <w:kern w:val="0"/>
                <w:sz w:val="20"/>
                <w:lang w:val="es-CL"/>
              </w:rPr>
              <w:t>Ministerio de Salud y Ministerio de Medio Ambiente</w:t>
            </w:r>
          </w:p>
        </w:tc>
        <w:tc>
          <w:tcPr>
            <w:tcW w:w="1275" w:type="dxa"/>
            <w:vMerge w:val="restart"/>
          </w:tcPr>
          <w:p w:rsidR="006720D8" w:rsidRPr="00804B0C" w:rsidRDefault="006720D8" w:rsidP="00C37B65">
            <w:pPr>
              <w:spacing w:after="0" w:line="240" w:lineRule="auto"/>
              <w:rPr>
                <w:kern w:val="0"/>
                <w:sz w:val="20"/>
                <w:lang w:val="es-CL"/>
              </w:rPr>
            </w:pPr>
            <w:r>
              <w:rPr>
                <w:kern w:val="0"/>
                <w:sz w:val="20"/>
                <w:lang w:val="es-CL"/>
              </w:rPr>
              <w:t>2015 - 2016</w:t>
            </w:r>
          </w:p>
        </w:tc>
      </w:tr>
      <w:tr w:rsidR="006720D8" w:rsidRPr="00804B0C" w:rsidTr="00C37B65">
        <w:trPr>
          <w:trHeight w:val="517"/>
        </w:trPr>
        <w:tc>
          <w:tcPr>
            <w:tcW w:w="2057" w:type="dxa"/>
            <w:vMerge/>
          </w:tcPr>
          <w:p w:rsidR="006720D8" w:rsidRPr="00804B0C" w:rsidRDefault="006720D8" w:rsidP="00C37B65">
            <w:pPr>
              <w:spacing w:after="0" w:line="240" w:lineRule="auto"/>
              <w:rPr>
                <w:rFonts w:ascii="Calibri" w:hAnsi="Calibri" w:cs="Calibri"/>
                <w:b/>
                <w:bCs/>
                <w:kern w:val="0"/>
                <w:sz w:val="20"/>
                <w:highlight w:val="yellow"/>
              </w:rPr>
            </w:pPr>
          </w:p>
        </w:tc>
        <w:tc>
          <w:tcPr>
            <w:tcW w:w="2410" w:type="dxa"/>
          </w:tcPr>
          <w:p w:rsidR="006720D8" w:rsidRPr="00804B0C" w:rsidRDefault="006720D8" w:rsidP="00C37B65">
            <w:pPr>
              <w:spacing w:after="0" w:line="240" w:lineRule="auto"/>
              <w:rPr>
                <w:kern w:val="0"/>
                <w:sz w:val="20"/>
                <w:lang w:val="es-ES"/>
              </w:rPr>
            </w:pPr>
            <w:r>
              <w:rPr>
                <w:kern w:val="0"/>
                <w:sz w:val="20"/>
                <w:lang w:val="es-ES"/>
              </w:rPr>
              <w:t>1</w:t>
            </w:r>
            <w:r w:rsidRPr="00804B0C">
              <w:rPr>
                <w:kern w:val="0"/>
                <w:sz w:val="20"/>
                <w:lang w:val="es-ES"/>
              </w:rPr>
              <w:t xml:space="preserve">.2 ) </w:t>
            </w:r>
            <w:r>
              <w:rPr>
                <w:kern w:val="0"/>
                <w:sz w:val="20"/>
                <w:lang w:val="es-ES"/>
              </w:rPr>
              <w:t>Elaborar propuesta de reglamento del GHS</w:t>
            </w:r>
          </w:p>
        </w:tc>
        <w:tc>
          <w:tcPr>
            <w:tcW w:w="6379" w:type="dxa"/>
          </w:tcPr>
          <w:p w:rsidR="006720D8" w:rsidRPr="00F13083" w:rsidRDefault="006720D8" w:rsidP="00C37B65">
            <w:pPr>
              <w:spacing w:after="0" w:line="240" w:lineRule="auto"/>
              <w:rPr>
                <w:kern w:val="0"/>
                <w:sz w:val="20"/>
                <w:lang w:val="es-CL"/>
              </w:rPr>
            </w:pPr>
            <w:r w:rsidRPr="00F13083">
              <w:rPr>
                <w:kern w:val="0"/>
                <w:sz w:val="20"/>
                <w:lang w:val="es-ES"/>
              </w:rPr>
              <w:t>1</w:t>
            </w:r>
            <w:r w:rsidRPr="00F13083">
              <w:rPr>
                <w:kern w:val="0"/>
                <w:sz w:val="20"/>
                <w:lang w:val="es-CL"/>
              </w:rPr>
              <w:t xml:space="preserve">.2.1) </w:t>
            </w:r>
            <w:r w:rsidRPr="00F13083">
              <w:rPr>
                <w:kern w:val="0"/>
                <w:sz w:val="20"/>
                <w:lang w:val="es-ES"/>
              </w:rPr>
              <w:t>Establecer programa de trabajo</w:t>
            </w:r>
            <w:r w:rsidRPr="00F13083">
              <w:rPr>
                <w:kern w:val="0"/>
                <w:sz w:val="20"/>
                <w:lang w:val="es-CL"/>
              </w:rPr>
              <w:t xml:space="preserve"> con objetivos y cronograma de trabajo</w:t>
            </w:r>
          </w:p>
          <w:p w:rsidR="006720D8" w:rsidRPr="00F13083" w:rsidRDefault="006720D8" w:rsidP="00C37B65">
            <w:pPr>
              <w:spacing w:after="0" w:line="240" w:lineRule="auto"/>
              <w:rPr>
                <w:kern w:val="0"/>
                <w:sz w:val="20"/>
                <w:lang w:val="es-CL"/>
              </w:rPr>
            </w:pPr>
            <w:r w:rsidRPr="00F13083">
              <w:rPr>
                <w:kern w:val="0"/>
                <w:sz w:val="20"/>
                <w:lang w:val="es-CL"/>
              </w:rPr>
              <w:t xml:space="preserve">1.2.2) Analizar propuesta de reglamento realizada por el Asesor Jurídico, basada en la implementación realizada en la Unión Europea </w:t>
            </w:r>
          </w:p>
          <w:p w:rsidR="006720D8" w:rsidRPr="00F13083" w:rsidRDefault="006720D8" w:rsidP="00C37B65">
            <w:pPr>
              <w:spacing w:after="0" w:line="240" w:lineRule="auto"/>
              <w:rPr>
                <w:kern w:val="0"/>
                <w:sz w:val="20"/>
                <w:lang w:val="es-CL"/>
              </w:rPr>
            </w:pPr>
            <w:r w:rsidRPr="00F13083">
              <w:rPr>
                <w:kern w:val="0"/>
                <w:sz w:val="20"/>
                <w:lang w:val="es-CL"/>
              </w:rPr>
              <w:t>1.2.3) Adaptar a realidad nacional</w:t>
            </w:r>
          </w:p>
        </w:tc>
        <w:tc>
          <w:tcPr>
            <w:tcW w:w="1701" w:type="dxa"/>
            <w:vMerge/>
          </w:tcPr>
          <w:p w:rsidR="006720D8" w:rsidRPr="00804B0C" w:rsidRDefault="006720D8" w:rsidP="00C37B65">
            <w:pPr>
              <w:spacing w:after="0" w:line="240" w:lineRule="auto"/>
              <w:rPr>
                <w:rFonts w:ascii="Calibri" w:hAnsi="Calibri" w:cs="Calibri"/>
                <w:kern w:val="0"/>
                <w:sz w:val="20"/>
                <w:lang w:val="es-CL"/>
              </w:rPr>
            </w:pPr>
          </w:p>
        </w:tc>
        <w:tc>
          <w:tcPr>
            <w:tcW w:w="1275" w:type="dxa"/>
            <w:vMerge/>
          </w:tcPr>
          <w:p w:rsidR="006720D8" w:rsidRPr="00804B0C" w:rsidRDefault="006720D8" w:rsidP="00C37B65">
            <w:pPr>
              <w:spacing w:after="0" w:line="240" w:lineRule="auto"/>
              <w:rPr>
                <w:rFonts w:ascii="Calibri" w:hAnsi="Calibri" w:cs="Calibri"/>
                <w:kern w:val="0"/>
                <w:sz w:val="20"/>
                <w:lang w:val="es-CL"/>
              </w:rPr>
            </w:pPr>
          </w:p>
        </w:tc>
      </w:tr>
      <w:tr w:rsidR="006720D8" w:rsidRPr="00804B0C" w:rsidTr="00C37B65">
        <w:tc>
          <w:tcPr>
            <w:tcW w:w="2057" w:type="dxa"/>
            <w:vMerge w:val="restart"/>
          </w:tcPr>
          <w:p w:rsidR="006720D8" w:rsidRPr="00804B0C" w:rsidRDefault="006720D8" w:rsidP="00C37B65">
            <w:pPr>
              <w:spacing w:after="0" w:line="240" w:lineRule="auto"/>
              <w:rPr>
                <w:rFonts w:ascii="Calibri" w:hAnsi="Calibri" w:cs="Calibri"/>
                <w:b/>
                <w:bCs/>
                <w:kern w:val="0"/>
                <w:sz w:val="20"/>
                <w:lang w:val="es-CL"/>
              </w:rPr>
            </w:pPr>
            <w:r>
              <w:rPr>
                <w:b/>
                <w:bCs/>
                <w:kern w:val="0"/>
                <w:sz w:val="20"/>
                <w:lang w:val="es-CL"/>
              </w:rPr>
              <w:t>2</w:t>
            </w:r>
            <w:r w:rsidRPr="00804B0C">
              <w:rPr>
                <w:b/>
                <w:bCs/>
                <w:kern w:val="0"/>
                <w:sz w:val="20"/>
                <w:lang w:val="es-CL"/>
              </w:rPr>
              <w:t xml:space="preserve">) </w:t>
            </w:r>
            <w:r>
              <w:rPr>
                <w:b/>
                <w:bCs/>
                <w:kern w:val="0"/>
                <w:sz w:val="20"/>
                <w:lang w:val="es-CL"/>
              </w:rPr>
              <w:t>Socializar propuesta de reglamento</w:t>
            </w:r>
          </w:p>
        </w:tc>
        <w:tc>
          <w:tcPr>
            <w:tcW w:w="2410" w:type="dxa"/>
          </w:tcPr>
          <w:p w:rsidR="006720D8" w:rsidRPr="00804B0C" w:rsidRDefault="006720D8" w:rsidP="00C37B65">
            <w:pPr>
              <w:spacing w:after="0" w:line="240" w:lineRule="auto"/>
              <w:rPr>
                <w:kern w:val="0"/>
                <w:sz w:val="20"/>
                <w:lang w:val="es-CL"/>
              </w:rPr>
            </w:pPr>
            <w:r>
              <w:rPr>
                <w:kern w:val="0"/>
                <w:sz w:val="20"/>
                <w:lang w:val="es-CL"/>
              </w:rPr>
              <w:t>2.1) Difundir propuesta al sector involucrado</w:t>
            </w:r>
          </w:p>
        </w:tc>
        <w:tc>
          <w:tcPr>
            <w:tcW w:w="6379" w:type="dxa"/>
          </w:tcPr>
          <w:p w:rsidR="006720D8" w:rsidRDefault="006720D8" w:rsidP="00C37B65">
            <w:pPr>
              <w:spacing w:after="0" w:line="240" w:lineRule="auto"/>
              <w:rPr>
                <w:kern w:val="0"/>
                <w:sz w:val="20"/>
                <w:lang w:val="es-CL"/>
              </w:rPr>
            </w:pPr>
            <w:r>
              <w:rPr>
                <w:kern w:val="0"/>
                <w:sz w:val="20"/>
                <w:lang w:val="es-CL"/>
              </w:rPr>
              <w:t>2</w:t>
            </w:r>
            <w:r w:rsidRPr="00804B0C">
              <w:rPr>
                <w:kern w:val="0"/>
                <w:sz w:val="20"/>
                <w:lang w:val="es-CL"/>
              </w:rPr>
              <w:t xml:space="preserve">.1.1) </w:t>
            </w:r>
            <w:r>
              <w:rPr>
                <w:kern w:val="0"/>
                <w:sz w:val="20"/>
                <w:lang w:val="es-CL"/>
              </w:rPr>
              <w:t>Identificar medios de difusión</w:t>
            </w:r>
          </w:p>
          <w:p w:rsidR="006720D8" w:rsidRPr="00804B0C" w:rsidRDefault="006720D8" w:rsidP="00C37B65">
            <w:pPr>
              <w:spacing w:after="0" w:line="240" w:lineRule="auto"/>
              <w:rPr>
                <w:kern w:val="0"/>
                <w:sz w:val="20"/>
                <w:lang w:val="es-CL"/>
              </w:rPr>
            </w:pPr>
            <w:r>
              <w:rPr>
                <w:kern w:val="0"/>
                <w:sz w:val="20"/>
                <w:lang w:val="es-CL"/>
              </w:rPr>
              <w:t>2</w:t>
            </w:r>
            <w:r w:rsidRPr="00804B0C">
              <w:rPr>
                <w:kern w:val="0"/>
                <w:sz w:val="20"/>
                <w:lang w:val="es-CL"/>
              </w:rPr>
              <w:t xml:space="preserve">.1.2) </w:t>
            </w:r>
            <w:r>
              <w:rPr>
                <w:kern w:val="0"/>
                <w:sz w:val="20"/>
                <w:lang w:val="es-CL"/>
              </w:rPr>
              <w:t>Difundir al sector involucrado a través de los medios identificados</w:t>
            </w:r>
          </w:p>
        </w:tc>
        <w:tc>
          <w:tcPr>
            <w:tcW w:w="1701" w:type="dxa"/>
            <w:vMerge/>
          </w:tcPr>
          <w:p w:rsidR="006720D8" w:rsidRPr="00804B0C" w:rsidRDefault="006720D8" w:rsidP="00C37B65">
            <w:pPr>
              <w:spacing w:after="0" w:line="240" w:lineRule="auto"/>
              <w:rPr>
                <w:kern w:val="0"/>
                <w:sz w:val="20"/>
                <w:lang w:val="es-CL"/>
              </w:rPr>
            </w:pPr>
          </w:p>
        </w:tc>
        <w:tc>
          <w:tcPr>
            <w:tcW w:w="1275" w:type="dxa"/>
            <w:vMerge w:val="restart"/>
          </w:tcPr>
          <w:p w:rsidR="006720D8" w:rsidRPr="00804B0C" w:rsidRDefault="006720D8" w:rsidP="00C37B65">
            <w:pPr>
              <w:spacing w:after="0" w:line="240" w:lineRule="auto"/>
              <w:rPr>
                <w:rFonts w:ascii="Calibri" w:hAnsi="Calibri" w:cs="Calibri"/>
                <w:kern w:val="0"/>
                <w:sz w:val="20"/>
                <w:lang w:val="es-CL"/>
              </w:rPr>
            </w:pPr>
            <w:r>
              <w:rPr>
                <w:rFonts w:ascii="Calibri" w:hAnsi="Calibri" w:cs="Calibri"/>
                <w:kern w:val="0"/>
                <w:sz w:val="20"/>
                <w:lang w:val="es-CL"/>
              </w:rPr>
              <w:t>2016 - 2017</w:t>
            </w:r>
          </w:p>
        </w:tc>
      </w:tr>
      <w:tr w:rsidR="006720D8" w:rsidRPr="00804B0C" w:rsidTr="00C37B65">
        <w:trPr>
          <w:trHeight w:val="510"/>
        </w:trPr>
        <w:tc>
          <w:tcPr>
            <w:tcW w:w="2057" w:type="dxa"/>
            <w:vMerge/>
          </w:tcPr>
          <w:p w:rsidR="006720D8" w:rsidRPr="00804B0C" w:rsidRDefault="006720D8" w:rsidP="00C37B65">
            <w:pPr>
              <w:spacing w:after="0" w:line="240" w:lineRule="auto"/>
              <w:rPr>
                <w:rFonts w:ascii="Calibri" w:hAnsi="Calibri" w:cs="Calibri"/>
                <w:b/>
                <w:bCs/>
                <w:kern w:val="0"/>
                <w:sz w:val="20"/>
                <w:lang w:val="es-CL"/>
              </w:rPr>
            </w:pPr>
          </w:p>
        </w:tc>
        <w:tc>
          <w:tcPr>
            <w:tcW w:w="2410" w:type="dxa"/>
          </w:tcPr>
          <w:p w:rsidR="006720D8" w:rsidRPr="00804B0C" w:rsidRDefault="006720D8" w:rsidP="00C37B65">
            <w:pPr>
              <w:spacing w:after="0" w:line="240" w:lineRule="auto"/>
              <w:rPr>
                <w:kern w:val="0"/>
                <w:sz w:val="20"/>
                <w:lang w:val="es-CL"/>
              </w:rPr>
            </w:pPr>
            <w:r w:rsidRPr="00754E7B">
              <w:rPr>
                <w:kern w:val="0"/>
                <w:sz w:val="20"/>
                <w:lang w:val="es-ES"/>
              </w:rPr>
              <w:t xml:space="preserve">2.2) </w:t>
            </w:r>
            <w:r>
              <w:rPr>
                <w:kern w:val="0"/>
                <w:sz w:val="20"/>
                <w:lang w:val="es-ES"/>
              </w:rPr>
              <w:t>C</w:t>
            </w:r>
            <w:r w:rsidRPr="00754E7B">
              <w:rPr>
                <w:kern w:val="0"/>
                <w:sz w:val="20"/>
                <w:lang w:val="es-ES"/>
              </w:rPr>
              <w:t>onsulta pública de la propuesta de reglamento</w:t>
            </w:r>
          </w:p>
        </w:tc>
        <w:tc>
          <w:tcPr>
            <w:tcW w:w="6379" w:type="dxa"/>
          </w:tcPr>
          <w:p w:rsidR="006720D8" w:rsidRDefault="006720D8" w:rsidP="00C37B65">
            <w:pPr>
              <w:spacing w:after="0" w:line="240" w:lineRule="auto"/>
              <w:rPr>
                <w:kern w:val="0"/>
                <w:sz w:val="20"/>
                <w:lang w:val="es-CL"/>
              </w:rPr>
            </w:pPr>
            <w:r>
              <w:rPr>
                <w:kern w:val="0"/>
                <w:sz w:val="20"/>
                <w:lang w:val="es-CL"/>
              </w:rPr>
              <w:t>2</w:t>
            </w:r>
            <w:r w:rsidRPr="00804B0C">
              <w:rPr>
                <w:kern w:val="0"/>
                <w:sz w:val="20"/>
                <w:lang w:val="es-CL"/>
              </w:rPr>
              <w:t>.</w:t>
            </w:r>
            <w:r>
              <w:rPr>
                <w:kern w:val="0"/>
                <w:sz w:val="20"/>
                <w:lang w:val="es-CL"/>
              </w:rPr>
              <w:t>2</w:t>
            </w:r>
            <w:r w:rsidRPr="00804B0C">
              <w:rPr>
                <w:kern w:val="0"/>
                <w:sz w:val="20"/>
                <w:lang w:val="es-CL"/>
              </w:rPr>
              <w:t xml:space="preserve">.1) </w:t>
            </w:r>
            <w:r>
              <w:rPr>
                <w:kern w:val="0"/>
                <w:sz w:val="20"/>
                <w:lang w:val="es-CL"/>
              </w:rPr>
              <w:t>difundir a través de página web del Ministerio de Salud y del Ministerio de Medio Ambiente</w:t>
            </w:r>
          </w:p>
          <w:p w:rsidR="006720D8" w:rsidRPr="00804B0C" w:rsidRDefault="006720D8" w:rsidP="00C37B65">
            <w:pPr>
              <w:spacing w:after="0" w:line="240" w:lineRule="auto"/>
              <w:rPr>
                <w:kern w:val="0"/>
                <w:sz w:val="20"/>
                <w:lang w:val="es-CL"/>
              </w:rPr>
            </w:pPr>
          </w:p>
        </w:tc>
        <w:tc>
          <w:tcPr>
            <w:tcW w:w="1701" w:type="dxa"/>
            <w:vMerge/>
          </w:tcPr>
          <w:p w:rsidR="006720D8" w:rsidRPr="00804B0C" w:rsidRDefault="006720D8" w:rsidP="00C37B65">
            <w:pPr>
              <w:spacing w:after="0" w:line="240" w:lineRule="auto"/>
              <w:rPr>
                <w:rFonts w:ascii="Calibri" w:hAnsi="Calibri" w:cs="Calibri"/>
                <w:kern w:val="0"/>
                <w:sz w:val="20"/>
                <w:lang w:val="es-CL"/>
              </w:rPr>
            </w:pPr>
          </w:p>
        </w:tc>
        <w:tc>
          <w:tcPr>
            <w:tcW w:w="1275" w:type="dxa"/>
            <w:vMerge/>
          </w:tcPr>
          <w:p w:rsidR="006720D8" w:rsidRPr="00804B0C" w:rsidRDefault="006720D8" w:rsidP="00C37B65">
            <w:pPr>
              <w:spacing w:after="0" w:line="240" w:lineRule="auto"/>
              <w:rPr>
                <w:rFonts w:ascii="Calibri" w:hAnsi="Calibri" w:cs="Calibri"/>
                <w:kern w:val="0"/>
                <w:sz w:val="20"/>
                <w:lang w:val="es-CL"/>
              </w:rPr>
            </w:pPr>
          </w:p>
        </w:tc>
      </w:tr>
      <w:tr w:rsidR="006720D8" w:rsidRPr="00804B0C" w:rsidTr="00C37B65">
        <w:trPr>
          <w:trHeight w:val="510"/>
        </w:trPr>
        <w:tc>
          <w:tcPr>
            <w:tcW w:w="2057" w:type="dxa"/>
          </w:tcPr>
          <w:p w:rsidR="006720D8" w:rsidRPr="00804B0C" w:rsidRDefault="006720D8" w:rsidP="00C37B65">
            <w:pPr>
              <w:spacing w:after="0" w:line="240" w:lineRule="auto"/>
              <w:rPr>
                <w:rFonts w:ascii="Calibri" w:hAnsi="Calibri" w:cs="Calibri"/>
                <w:b/>
                <w:bCs/>
                <w:kern w:val="0"/>
                <w:sz w:val="20"/>
                <w:lang w:val="es-CL"/>
              </w:rPr>
            </w:pPr>
            <w:r w:rsidRPr="00754E7B">
              <w:rPr>
                <w:b/>
                <w:bCs/>
                <w:kern w:val="0"/>
                <w:sz w:val="20"/>
                <w:lang w:val="es-CL"/>
              </w:rPr>
              <w:t>3) Promulgar reglamento del GHS</w:t>
            </w:r>
          </w:p>
        </w:tc>
        <w:tc>
          <w:tcPr>
            <w:tcW w:w="2410" w:type="dxa"/>
          </w:tcPr>
          <w:p w:rsidR="006720D8" w:rsidRPr="00804B0C" w:rsidRDefault="006720D8" w:rsidP="00C37B65">
            <w:pPr>
              <w:spacing w:after="0" w:line="240" w:lineRule="auto"/>
              <w:rPr>
                <w:kern w:val="0"/>
                <w:sz w:val="20"/>
                <w:lang w:val="es-ES"/>
              </w:rPr>
            </w:pPr>
            <w:r>
              <w:rPr>
                <w:kern w:val="0"/>
                <w:sz w:val="20"/>
                <w:lang w:val="es-ES"/>
              </w:rPr>
              <w:t>3.1) Elaborar propuesta final</w:t>
            </w:r>
          </w:p>
        </w:tc>
        <w:tc>
          <w:tcPr>
            <w:tcW w:w="6379" w:type="dxa"/>
          </w:tcPr>
          <w:p w:rsidR="006720D8" w:rsidRDefault="006720D8" w:rsidP="00C37B65">
            <w:pPr>
              <w:spacing w:after="0" w:line="240" w:lineRule="auto"/>
              <w:rPr>
                <w:kern w:val="0"/>
                <w:sz w:val="20"/>
                <w:lang w:val="es-CL"/>
              </w:rPr>
            </w:pPr>
            <w:r>
              <w:rPr>
                <w:kern w:val="0"/>
                <w:sz w:val="20"/>
                <w:lang w:val="es-CL"/>
              </w:rPr>
              <w:t>3.1.1) Revisión y análisis de observaciones recibidas</w:t>
            </w:r>
          </w:p>
          <w:p w:rsidR="006720D8" w:rsidRDefault="006720D8" w:rsidP="00C37B65">
            <w:pPr>
              <w:spacing w:after="0" w:line="240" w:lineRule="auto"/>
              <w:rPr>
                <w:kern w:val="0"/>
                <w:sz w:val="20"/>
                <w:lang w:val="es-CL"/>
              </w:rPr>
            </w:pPr>
            <w:r>
              <w:rPr>
                <w:kern w:val="0"/>
                <w:sz w:val="20"/>
                <w:lang w:val="es-CL"/>
              </w:rPr>
              <w:t>3.1.2) Consolidación de documento  final</w:t>
            </w:r>
          </w:p>
          <w:p w:rsidR="006720D8" w:rsidRPr="00804B0C" w:rsidRDefault="006720D8" w:rsidP="00C37B65">
            <w:pPr>
              <w:spacing w:after="0" w:line="240" w:lineRule="auto"/>
              <w:rPr>
                <w:kern w:val="0"/>
                <w:sz w:val="20"/>
                <w:lang w:val="es-CL"/>
              </w:rPr>
            </w:pPr>
            <w:r>
              <w:rPr>
                <w:kern w:val="0"/>
                <w:sz w:val="20"/>
                <w:lang w:val="es-CL"/>
              </w:rPr>
              <w:t>3.1.3) Tramitación ante la Contraloría General de la República</w:t>
            </w:r>
          </w:p>
        </w:tc>
        <w:tc>
          <w:tcPr>
            <w:tcW w:w="1701" w:type="dxa"/>
            <w:vMerge/>
          </w:tcPr>
          <w:p w:rsidR="006720D8" w:rsidRPr="00804B0C" w:rsidRDefault="006720D8" w:rsidP="00C37B65">
            <w:pPr>
              <w:spacing w:after="0" w:line="240" w:lineRule="auto"/>
              <w:rPr>
                <w:kern w:val="0"/>
                <w:sz w:val="20"/>
                <w:lang w:val="es-CL"/>
              </w:rPr>
            </w:pPr>
          </w:p>
        </w:tc>
        <w:tc>
          <w:tcPr>
            <w:tcW w:w="1275" w:type="dxa"/>
          </w:tcPr>
          <w:p w:rsidR="006720D8" w:rsidRDefault="006720D8" w:rsidP="00C37B65">
            <w:pPr>
              <w:spacing w:after="0" w:line="240" w:lineRule="auto"/>
              <w:rPr>
                <w:rFonts w:ascii="Calibri" w:hAnsi="Calibri" w:cs="Calibri"/>
                <w:kern w:val="0"/>
                <w:sz w:val="20"/>
                <w:lang w:val="es-CL"/>
              </w:rPr>
            </w:pPr>
            <w:r>
              <w:rPr>
                <w:rFonts w:ascii="Calibri" w:hAnsi="Calibri" w:cs="Calibri"/>
                <w:kern w:val="0"/>
                <w:sz w:val="20"/>
                <w:lang w:val="es-CL"/>
              </w:rPr>
              <w:t>2016 - 2017</w:t>
            </w:r>
          </w:p>
        </w:tc>
      </w:tr>
    </w:tbl>
    <w:p w:rsidR="005D2359" w:rsidRDefault="005D2359" w:rsidP="005D2359">
      <w:pPr>
        <w:pStyle w:val="Heading1"/>
        <w:numPr>
          <w:ilvl w:val="0"/>
          <w:numId w:val="0"/>
        </w:numPr>
        <w:spacing w:before="0" w:after="180" w:line="264" w:lineRule="auto"/>
        <w:rPr>
          <w:caps w:val="0"/>
          <w:highlight w:val="yellow"/>
          <w:lang w:val="es-CL"/>
        </w:rPr>
      </w:pPr>
    </w:p>
    <w:p w:rsidR="00206C22" w:rsidRDefault="00206C22" w:rsidP="00206C22">
      <w:pPr>
        <w:rPr>
          <w:highlight w:val="yellow"/>
          <w:lang w:val="es-CL"/>
        </w:rPr>
      </w:pPr>
    </w:p>
    <w:p w:rsidR="00206C22" w:rsidRDefault="00206C22" w:rsidP="00206C22">
      <w:pPr>
        <w:rPr>
          <w:highlight w:val="yellow"/>
          <w:lang w:val="es-CL"/>
        </w:rPr>
      </w:pPr>
    </w:p>
    <w:p w:rsidR="00206C22" w:rsidRDefault="00206C22" w:rsidP="00206C22">
      <w:pPr>
        <w:rPr>
          <w:highlight w:val="yellow"/>
          <w:lang w:val="es-CL"/>
        </w:rPr>
      </w:pPr>
    </w:p>
    <w:p w:rsidR="00665FCD" w:rsidRDefault="00665FCD" w:rsidP="00206C22">
      <w:pPr>
        <w:rPr>
          <w:highlight w:val="yellow"/>
          <w:lang w:val="es-CL"/>
        </w:rPr>
        <w:sectPr w:rsidR="00665FCD" w:rsidSect="006720D8">
          <w:pgSz w:w="12242" w:h="15842" w:code="1"/>
          <w:pgMar w:top="1145" w:right="1043" w:bottom="1145" w:left="1276" w:header="709" w:footer="709" w:gutter="0"/>
          <w:cols w:space="720"/>
          <w:titlePg/>
          <w:docGrid w:linePitch="360"/>
        </w:sectPr>
      </w:pPr>
    </w:p>
    <w:p w:rsidR="005D2359" w:rsidRPr="00024189" w:rsidRDefault="006720D8" w:rsidP="00206C22">
      <w:pPr>
        <w:pStyle w:val="Heading2"/>
        <w:ind w:left="0" w:hanging="9"/>
        <w:rPr>
          <w:lang w:val="es-CL"/>
        </w:rPr>
      </w:pPr>
      <w:bookmarkStart w:id="123" w:name="_Toc418168911"/>
      <w:r w:rsidRPr="00024189">
        <w:rPr>
          <w:lang w:val="es-CL"/>
        </w:rPr>
        <w:t>Evaluación</w:t>
      </w:r>
      <w:r w:rsidR="00024189" w:rsidRPr="00024189">
        <w:t xml:space="preserve"> de implementación del GHS en otros sectores</w:t>
      </w:r>
      <w:bookmarkEnd w:id="123"/>
    </w:p>
    <w:p w:rsidR="005D2359" w:rsidRDefault="00206C22" w:rsidP="005D2359">
      <w:pPr>
        <w:jc w:val="both"/>
        <w:rPr>
          <w:sz w:val="22"/>
          <w:szCs w:val="22"/>
          <w:lang w:val="es-CL"/>
        </w:rPr>
      </w:pPr>
      <w:r>
        <w:rPr>
          <w:sz w:val="22"/>
          <w:szCs w:val="22"/>
        </w:rPr>
        <w:t>Finalmente</w:t>
      </w:r>
      <w:r w:rsidRPr="00E30F6D">
        <w:rPr>
          <w:sz w:val="22"/>
          <w:szCs w:val="22"/>
          <w:lang w:val="es-CL"/>
        </w:rPr>
        <w:t xml:space="preserve">, </w:t>
      </w:r>
      <w:r w:rsidR="006C7198">
        <w:rPr>
          <w:sz w:val="22"/>
          <w:szCs w:val="22"/>
        </w:rPr>
        <w:t>dado que se decidió en primera instancia no incluir a todos los sectores en la implementación misma del GHS por ahora, e</w:t>
      </w:r>
      <w:r w:rsidRPr="00E30F6D">
        <w:rPr>
          <w:sz w:val="22"/>
          <w:szCs w:val="22"/>
          <w:lang w:val="es-CL"/>
        </w:rPr>
        <w:t xml:space="preserve">s conveniente establecer subgrupos o subcomités dentro de Comité Coordinador para que se aborden las necesidades específicas en materia de evaluación y fomento de la capacidad para aplicar el GHS en los distintos sectores, por ejemplo, en temas de legislación, capacitación y actividades de sensibilización. En particular, de acuerdo a resoluciones tomadas por el Comité, se formarán subcomités liderados por los ministerios respectivos que tengan competencia para evaluar si el nuevo reglamento propuesto </w:t>
      </w:r>
      <w:r w:rsidR="006C7198">
        <w:rPr>
          <w:sz w:val="22"/>
          <w:szCs w:val="22"/>
        </w:rPr>
        <w:t>sería</w:t>
      </w:r>
      <w:r w:rsidRPr="00E30F6D">
        <w:rPr>
          <w:sz w:val="22"/>
          <w:szCs w:val="22"/>
          <w:lang w:val="es-CL"/>
        </w:rPr>
        <w:t xml:space="preserve"> aplicable en los sectores de Agricultura y Transporte en el corto plazo y Productos de Consumo en el largo plazo.</w:t>
      </w:r>
    </w:p>
    <w:p w:rsidR="005912F0" w:rsidRDefault="005912F0" w:rsidP="005D2359">
      <w:pPr>
        <w:jc w:val="both"/>
        <w:rPr>
          <w:sz w:val="22"/>
          <w:szCs w:val="22"/>
          <w:lang w:val="es-CL"/>
        </w:rPr>
      </w:pPr>
    </w:p>
    <w:p w:rsidR="005D2359" w:rsidRPr="00024189" w:rsidRDefault="005D2359" w:rsidP="005D2359">
      <w:pPr>
        <w:jc w:val="both"/>
        <w:rPr>
          <w:b/>
          <w:sz w:val="22"/>
          <w:szCs w:val="22"/>
          <w:u w:val="single"/>
        </w:rPr>
      </w:pPr>
      <w:r w:rsidRPr="00024189">
        <w:rPr>
          <w:b/>
          <w:sz w:val="22"/>
          <w:szCs w:val="22"/>
          <w:u w:val="single"/>
          <w:lang w:val="es-CL"/>
        </w:rPr>
        <w:t>Objetivo Estrat</w:t>
      </w:r>
      <w:r w:rsidRPr="00024189">
        <w:rPr>
          <w:b/>
          <w:sz w:val="22"/>
          <w:szCs w:val="22"/>
          <w:u w:val="single"/>
        </w:rPr>
        <w:t>égico</w:t>
      </w:r>
      <w:r w:rsidRPr="00024189">
        <w:rPr>
          <w:b/>
          <w:sz w:val="22"/>
          <w:szCs w:val="22"/>
          <w:u w:val="single"/>
          <w:lang w:val="es-CL"/>
        </w:rPr>
        <w:t xml:space="preserve"> </w:t>
      </w:r>
      <w:r w:rsidR="00206C22" w:rsidRPr="00024189">
        <w:rPr>
          <w:b/>
          <w:sz w:val="22"/>
          <w:szCs w:val="22"/>
          <w:u w:val="single"/>
        </w:rPr>
        <w:t>7</w:t>
      </w:r>
      <w:r w:rsidRPr="00024189">
        <w:rPr>
          <w:b/>
          <w:sz w:val="22"/>
          <w:szCs w:val="22"/>
          <w:u w:val="single"/>
          <w:lang w:val="es-CL"/>
        </w:rPr>
        <w:t xml:space="preserve">: </w:t>
      </w:r>
      <w:r w:rsidR="00206C22" w:rsidRPr="00024189">
        <w:rPr>
          <w:b/>
          <w:sz w:val="22"/>
          <w:szCs w:val="22"/>
          <w:u w:val="single"/>
        </w:rPr>
        <w:t>Evaluación de la implementación del GHS en los demás sectores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9"/>
        <w:gridCol w:w="1592"/>
        <w:gridCol w:w="4308"/>
        <w:gridCol w:w="1438"/>
        <w:gridCol w:w="832"/>
      </w:tblGrid>
      <w:tr w:rsidR="006720D8" w:rsidRPr="00BA10CE" w:rsidTr="00C37B65">
        <w:tc>
          <w:tcPr>
            <w:tcW w:w="1859" w:type="dxa"/>
            <w:shd w:val="clear" w:color="auto" w:fill="94B6D2" w:themeFill="accent1"/>
            <w:vAlign w:val="center"/>
          </w:tcPr>
          <w:p w:rsidR="006720D8" w:rsidRPr="00BA10CE" w:rsidRDefault="006720D8" w:rsidP="00C37B65">
            <w:pPr>
              <w:spacing w:after="0" w:line="240" w:lineRule="auto"/>
              <w:jc w:val="center"/>
              <w:rPr>
                <w:b/>
                <w:bCs/>
                <w:color w:val="FFFFFF"/>
                <w:kern w:val="0"/>
                <w:sz w:val="20"/>
                <w:lang w:val="es-CL"/>
              </w:rPr>
            </w:pPr>
            <w:r w:rsidRPr="00BA10CE">
              <w:rPr>
                <w:b/>
                <w:bCs/>
                <w:color w:val="FFFFFF"/>
                <w:kern w:val="0"/>
                <w:sz w:val="20"/>
                <w:lang w:val="es-CL"/>
              </w:rPr>
              <w:t>Objetivo Específico</w:t>
            </w:r>
          </w:p>
        </w:tc>
        <w:tc>
          <w:tcPr>
            <w:tcW w:w="1626" w:type="dxa"/>
            <w:shd w:val="clear" w:color="auto" w:fill="94B6D2" w:themeFill="accent1"/>
            <w:vAlign w:val="center"/>
          </w:tcPr>
          <w:p w:rsidR="006720D8" w:rsidRPr="00BA10CE" w:rsidRDefault="006720D8" w:rsidP="00C37B65">
            <w:pPr>
              <w:spacing w:after="0" w:line="240" w:lineRule="auto"/>
              <w:jc w:val="center"/>
              <w:rPr>
                <w:b/>
                <w:bCs/>
                <w:color w:val="FFFFFF"/>
                <w:kern w:val="0"/>
                <w:sz w:val="20"/>
                <w:lang w:val="es-CL"/>
              </w:rPr>
            </w:pPr>
            <w:r w:rsidRPr="00BA10CE">
              <w:rPr>
                <w:b/>
                <w:bCs/>
                <w:color w:val="FFFFFF"/>
                <w:kern w:val="0"/>
                <w:sz w:val="20"/>
                <w:lang w:val="es-CL"/>
              </w:rPr>
              <w:t>Metas</w:t>
            </w:r>
          </w:p>
        </w:tc>
        <w:tc>
          <w:tcPr>
            <w:tcW w:w="4555" w:type="dxa"/>
            <w:shd w:val="clear" w:color="auto" w:fill="94B6D2" w:themeFill="accent1"/>
            <w:vAlign w:val="center"/>
          </w:tcPr>
          <w:p w:rsidR="006720D8" w:rsidRPr="00BA10CE" w:rsidRDefault="006720D8" w:rsidP="00C37B65">
            <w:pPr>
              <w:spacing w:after="0" w:line="240" w:lineRule="auto"/>
              <w:jc w:val="center"/>
              <w:rPr>
                <w:b/>
                <w:bCs/>
                <w:color w:val="FFFFFF"/>
                <w:kern w:val="0"/>
                <w:sz w:val="20"/>
                <w:lang w:val="es-CL"/>
              </w:rPr>
            </w:pPr>
            <w:r w:rsidRPr="00BA10CE">
              <w:rPr>
                <w:b/>
                <w:bCs/>
                <w:color w:val="FFFFFF"/>
                <w:kern w:val="0"/>
                <w:sz w:val="20"/>
                <w:lang w:val="es-CL"/>
              </w:rPr>
              <w:t>Actividades</w:t>
            </w:r>
          </w:p>
        </w:tc>
        <w:tc>
          <w:tcPr>
            <w:tcW w:w="1362" w:type="dxa"/>
            <w:shd w:val="clear" w:color="auto" w:fill="94B6D2" w:themeFill="accent1"/>
            <w:vAlign w:val="center"/>
          </w:tcPr>
          <w:p w:rsidR="006720D8" w:rsidRPr="00BA10CE" w:rsidRDefault="006720D8" w:rsidP="00C37B65">
            <w:pPr>
              <w:spacing w:after="0" w:line="240" w:lineRule="auto"/>
              <w:jc w:val="center"/>
              <w:rPr>
                <w:b/>
                <w:bCs/>
                <w:color w:val="FFFFFF"/>
                <w:kern w:val="0"/>
                <w:sz w:val="20"/>
                <w:lang w:val="es-CL"/>
              </w:rPr>
            </w:pPr>
            <w:r w:rsidRPr="00BA10CE">
              <w:rPr>
                <w:b/>
                <w:bCs/>
                <w:color w:val="FFFFFF"/>
                <w:kern w:val="0"/>
                <w:sz w:val="20"/>
                <w:lang w:val="es-CL"/>
              </w:rPr>
              <w:t>Responsable</w:t>
            </w:r>
          </w:p>
        </w:tc>
        <w:tc>
          <w:tcPr>
            <w:tcW w:w="843" w:type="dxa"/>
            <w:shd w:val="clear" w:color="auto" w:fill="94B6D2" w:themeFill="accent1"/>
            <w:vAlign w:val="center"/>
          </w:tcPr>
          <w:p w:rsidR="006720D8" w:rsidRPr="00BA10CE" w:rsidRDefault="006720D8" w:rsidP="00C37B65">
            <w:pPr>
              <w:spacing w:after="0" w:line="240" w:lineRule="auto"/>
              <w:jc w:val="center"/>
              <w:rPr>
                <w:b/>
                <w:bCs/>
                <w:color w:val="FFFFFF"/>
                <w:kern w:val="0"/>
                <w:sz w:val="20"/>
                <w:lang w:val="es-CL"/>
              </w:rPr>
            </w:pPr>
            <w:r w:rsidRPr="00BA10CE">
              <w:rPr>
                <w:b/>
                <w:bCs/>
                <w:color w:val="FFFFFF"/>
                <w:kern w:val="0"/>
                <w:sz w:val="20"/>
                <w:lang w:val="es-CL"/>
              </w:rPr>
              <w:t>Plazo</w:t>
            </w:r>
          </w:p>
        </w:tc>
      </w:tr>
      <w:tr w:rsidR="006720D8" w:rsidRPr="00BA10CE" w:rsidTr="00C37B65">
        <w:trPr>
          <w:trHeight w:val="850"/>
        </w:trPr>
        <w:tc>
          <w:tcPr>
            <w:tcW w:w="1859" w:type="dxa"/>
            <w:vMerge w:val="restart"/>
            <w:shd w:val="clear" w:color="auto" w:fill="auto"/>
          </w:tcPr>
          <w:p w:rsidR="006720D8" w:rsidRPr="00F13083" w:rsidRDefault="006720D8" w:rsidP="00C37B65">
            <w:pPr>
              <w:spacing w:after="0" w:line="240" w:lineRule="auto"/>
              <w:rPr>
                <w:b/>
                <w:bCs/>
                <w:kern w:val="0"/>
                <w:sz w:val="20"/>
                <w:lang w:val="es-CL"/>
              </w:rPr>
            </w:pPr>
            <w:r w:rsidRPr="00F13083">
              <w:rPr>
                <w:b/>
                <w:bCs/>
                <w:kern w:val="0"/>
                <w:sz w:val="20"/>
                <w:lang w:val="es-CL"/>
              </w:rPr>
              <w:t>1) Creación de sub-comités sectoriales para la evaluación de la implementación del GHS</w:t>
            </w:r>
          </w:p>
        </w:tc>
        <w:tc>
          <w:tcPr>
            <w:tcW w:w="1626" w:type="dxa"/>
            <w:shd w:val="clear" w:color="auto" w:fill="auto"/>
          </w:tcPr>
          <w:p w:rsidR="006720D8" w:rsidRPr="00F13083" w:rsidRDefault="006720D8" w:rsidP="00C37B65">
            <w:pPr>
              <w:rPr>
                <w:kern w:val="0"/>
                <w:sz w:val="20"/>
                <w:lang w:val="es-CL"/>
              </w:rPr>
            </w:pPr>
            <w:r w:rsidRPr="00F13083">
              <w:rPr>
                <w:kern w:val="0"/>
                <w:sz w:val="20"/>
                <w:lang w:val="es-CL"/>
              </w:rPr>
              <w:t>1.1) Formación de subcomité sector Agricultura para evaluar aplicación del GHS</w:t>
            </w:r>
          </w:p>
        </w:tc>
        <w:tc>
          <w:tcPr>
            <w:tcW w:w="4555" w:type="dxa"/>
            <w:shd w:val="clear" w:color="auto" w:fill="auto"/>
          </w:tcPr>
          <w:p w:rsidR="006720D8" w:rsidRPr="00F13083" w:rsidRDefault="006720D8" w:rsidP="00C37B65">
            <w:pPr>
              <w:spacing w:after="0" w:line="240" w:lineRule="auto"/>
              <w:rPr>
                <w:kern w:val="0"/>
                <w:sz w:val="20"/>
                <w:lang w:val="es-CL"/>
              </w:rPr>
            </w:pPr>
            <w:r w:rsidRPr="00F13083">
              <w:rPr>
                <w:kern w:val="0"/>
                <w:sz w:val="20"/>
                <w:lang w:val="es-CL"/>
              </w:rPr>
              <w:t>1.1.1) Convocar a los representantes del Ministerio de Agricultura y SAG en el Comité para que lideren el subcomité</w:t>
            </w:r>
          </w:p>
          <w:p w:rsidR="006720D8" w:rsidRPr="00F13083" w:rsidRDefault="006720D8" w:rsidP="00C37B65">
            <w:pPr>
              <w:rPr>
                <w:kern w:val="0"/>
                <w:sz w:val="20"/>
                <w:lang w:val="es-CL"/>
              </w:rPr>
            </w:pPr>
            <w:r w:rsidRPr="00F13083">
              <w:rPr>
                <w:kern w:val="0"/>
                <w:sz w:val="20"/>
                <w:lang w:val="es-CL"/>
              </w:rPr>
              <w:t>1.1.2) Establecer los objetivos, plan de trabajo y organigrama del subcomité</w:t>
            </w:r>
          </w:p>
        </w:tc>
        <w:tc>
          <w:tcPr>
            <w:tcW w:w="1362" w:type="dxa"/>
            <w:shd w:val="clear" w:color="auto" w:fill="auto"/>
          </w:tcPr>
          <w:p w:rsidR="006720D8" w:rsidRPr="00BA10CE" w:rsidRDefault="006720D8" w:rsidP="00C37B65">
            <w:pPr>
              <w:spacing w:after="0" w:line="240" w:lineRule="auto"/>
              <w:rPr>
                <w:kern w:val="0"/>
                <w:sz w:val="20"/>
                <w:lang w:val="es-CL"/>
              </w:rPr>
            </w:pPr>
            <w:r w:rsidRPr="00BA10CE">
              <w:rPr>
                <w:kern w:val="0"/>
                <w:sz w:val="20"/>
                <w:lang w:val="es-CL"/>
              </w:rPr>
              <w:t>Ministerio de Salud e Integrantes actuales del Comité</w:t>
            </w:r>
          </w:p>
        </w:tc>
        <w:tc>
          <w:tcPr>
            <w:tcW w:w="843" w:type="dxa"/>
            <w:shd w:val="clear" w:color="auto" w:fill="auto"/>
          </w:tcPr>
          <w:p w:rsidR="006720D8" w:rsidRPr="00BA10CE" w:rsidRDefault="006720D8" w:rsidP="00C37B65">
            <w:pPr>
              <w:spacing w:after="0" w:line="240" w:lineRule="auto"/>
              <w:rPr>
                <w:kern w:val="0"/>
                <w:sz w:val="20"/>
                <w:lang w:val="es-CL"/>
              </w:rPr>
            </w:pPr>
            <w:r>
              <w:rPr>
                <w:kern w:val="0"/>
                <w:sz w:val="20"/>
                <w:lang w:val="es-CL"/>
              </w:rPr>
              <w:t>2015</w:t>
            </w:r>
          </w:p>
        </w:tc>
      </w:tr>
      <w:tr w:rsidR="006720D8" w:rsidRPr="00BA10CE" w:rsidTr="00C37B65">
        <w:tc>
          <w:tcPr>
            <w:tcW w:w="1859" w:type="dxa"/>
            <w:vMerge/>
            <w:shd w:val="clear" w:color="auto" w:fill="auto"/>
          </w:tcPr>
          <w:p w:rsidR="006720D8" w:rsidRPr="00BA10CE" w:rsidRDefault="006720D8" w:rsidP="00C37B65">
            <w:pPr>
              <w:spacing w:after="0" w:line="240" w:lineRule="auto"/>
              <w:rPr>
                <w:b/>
                <w:bCs/>
                <w:kern w:val="0"/>
                <w:sz w:val="20"/>
                <w:lang w:val="es-CL"/>
              </w:rPr>
            </w:pPr>
          </w:p>
        </w:tc>
        <w:tc>
          <w:tcPr>
            <w:tcW w:w="1626" w:type="dxa"/>
            <w:shd w:val="clear" w:color="auto" w:fill="auto"/>
          </w:tcPr>
          <w:p w:rsidR="006720D8" w:rsidRPr="00F13083" w:rsidRDefault="006720D8" w:rsidP="00C37B65">
            <w:pPr>
              <w:pStyle w:val="Default"/>
              <w:rPr>
                <w:rFonts w:ascii="Tw Cen MT" w:hAnsi="Tw Cen MT" w:cs="Tw Cen MT"/>
                <w:color w:val="auto"/>
                <w:sz w:val="20"/>
                <w:szCs w:val="20"/>
              </w:rPr>
            </w:pPr>
            <w:r w:rsidRPr="00F13083">
              <w:rPr>
                <w:rFonts w:ascii="Tw Cen MT" w:hAnsi="Tw Cen MT" w:cs="Tw Cen MT"/>
                <w:color w:val="auto"/>
                <w:sz w:val="20"/>
                <w:szCs w:val="20"/>
              </w:rPr>
              <w:t>2.2) Formación de subcomité sector Transporte para evaluar aplicación del GHS</w:t>
            </w:r>
          </w:p>
        </w:tc>
        <w:tc>
          <w:tcPr>
            <w:tcW w:w="4555" w:type="dxa"/>
            <w:shd w:val="clear" w:color="auto" w:fill="auto"/>
          </w:tcPr>
          <w:p w:rsidR="006720D8" w:rsidRPr="00F13083" w:rsidRDefault="006720D8" w:rsidP="00C37B65">
            <w:pPr>
              <w:spacing w:after="0" w:line="240" w:lineRule="auto"/>
              <w:rPr>
                <w:kern w:val="0"/>
                <w:sz w:val="20"/>
                <w:lang w:val="es-CL"/>
              </w:rPr>
            </w:pPr>
            <w:r w:rsidRPr="00F13083">
              <w:rPr>
                <w:kern w:val="0"/>
                <w:sz w:val="20"/>
                <w:lang w:val="es-CL"/>
              </w:rPr>
              <w:t>2.2.1) Convocar al representante del Ministerio de Transporte y Telecomunicaciones  en el Comité para que lidere el subcomité</w:t>
            </w:r>
          </w:p>
          <w:p w:rsidR="006720D8" w:rsidRPr="00F13083" w:rsidRDefault="006720D8" w:rsidP="00C37B65">
            <w:pPr>
              <w:spacing w:after="0" w:line="240" w:lineRule="auto"/>
              <w:rPr>
                <w:kern w:val="0"/>
                <w:sz w:val="20"/>
                <w:lang w:val="es-CL"/>
              </w:rPr>
            </w:pPr>
            <w:r w:rsidRPr="00F13083">
              <w:rPr>
                <w:kern w:val="0"/>
                <w:sz w:val="20"/>
                <w:lang w:val="es-CL"/>
              </w:rPr>
              <w:t>2.2.2) Establecer los objetivos, plan de trabajo y organigrama del subcomité</w:t>
            </w:r>
          </w:p>
        </w:tc>
        <w:tc>
          <w:tcPr>
            <w:tcW w:w="1362" w:type="dxa"/>
            <w:vMerge w:val="restart"/>
            <w:shd w:val="clear" w:color="auto" w:fill="auto"/>
          </w:tcPr>
          <w:p w:rsidR="006720D8" w:rsidRPr="00BA10CE" w:rsidRDefault="006720D8" w:rsidP="00C37B65">
            <w:pPr>
              <w:spacing w:after="0" w:line="240" w:lineRule="auto"/>
              <w:rPr>
                <w:kern w:val="0"/>
                <w:sz w:val="20"/>
                <w:lang w:val="es-CL"/>
              </w:rPr>
            </w:pPr>
            <w:r w:rsidRPr="00BA10CE">
              <w:rPr>
                <w:kern w:val="0"/>
                <w:sz w:val="20"/>
                <w:lang w:val="es-CL"/>
              </w:rPr>
              <w:t>Comité Coordinador</w:t>
            </w:r>
          </w:p>
        </w:tc>
        <w:tc>
          <w:tcPr>
            <w:tcW w:w="843" w:type="dxa"/>
            <w:shd w:val="clear" w:color="auto" w:fill="auto"/>
          </w:tcPr>
          <w:p w:rsidR="006720D8" w:rsidRPr="00BA10CE" w:rsidRDefault="006720D8" w:rsidP="00C37B65">
            <w:pPr>
              <w:spacing w:after="0" w:line="240" w:lineRule="auto"/>
              <w:rPr>
                <w:kern w:val="0"/>
                <w:sz w:val="20"/>
                <w:lang w:val="es-CL"/>
              </w:rPr>
            </w:pPr>
            <w:r>
              <w:rPr>
                <w:kern w:val="0"/>
                <w:sz w:val="20"/>
                <w:lang w:val="es-CL"/>
              </w:rPr>
              <w:t>2015</w:t>
            </w:r>
          </w:p>
        </w:tc>
      </w:tr>
      <w:tr w:rsidR="006720D8" w:rsidRPr="00BA10CE" w:rsidTr="00C37B65">
        <w:tc>
          <w:tcPr>
            <w:tcW w:w="1859" w:type="dxa"/>
            <w:vMerge/>
            <w:shd w:val="clear" w:color="auto" w:fill="auto"/>
          </w:tcPr>
          <w:p w:rsidR="006720D8" w:rsidRPr="00BA10CE" w:rsidRDefault="006720D8" w:rsidP="00C37B65">
            <w:pPr>
              <w:spacing w:after="0" w:line="240" w:lineRule="auto"/>
              <w:rPr>
                <w:rFonts w:ascii="Calibri" w:hAnsi="Calibri" w:cs="Calibri"/>
                <w:b/>
                <w:bCs/>
                <w:kern w:val="0"/>
                <w:sz w:val="20"/>
                <w:lang w:val="es-CL"/>
              </w:rPr>
            </w:pPr>
          </w:p>
        </w:tc>
        <w:tc>
          <w:tcPr>
            <w:tcW w:w="1626" w:type="dxa"/>
            <w:shd w:val="clear" w:color="auto" w:fill="auto"/>
          </w:tcPr>
          <w:p w:rsidR="006720D8" w:rsidRPr="00F13083" w:rsidRDefault="006720D8" w:rsidP="00C37B65">
            <w:pPr>
              <w:pStyle w:val="Default"/>
              <w:rPr>
                <w:rFonts w:ascii="Tw Cen MT" w:hAnsi="Tw Cen MT" w:cs="Tw Cen MT"/>
                <w:color w:val="auto"/>
                <w:sz w:val="20"/>
                <w:szCs w:val="20"/>
                <w:lang w:val="es-CL"/>
              </w:rPr>
            </w:pPr>
            <w:r w:rsidRPr="00F13083">
              <w:rPr>
                <w:rFonts w:ascii="Tw Cen MT" w:hAnsi="Tw Cen MT" w:cs="Tw Cen MT"/>
                <w:color w:val="auto"/>
                <w:sz w:val="20"/>
                <w:szCs w:val="20"/>
              </w:rPr>
              <w:t>2.3) Formación de subcomité sector Productos de Consumo</w:t>
            </w:r>
            <w:r w:rsidRPr="00F13083">
              <w:rPr>
                <w:rFonts w:ascii="Tw Cen MT" w:hAnsi="Tw Cen MT" w:cs="Tw Cen MT"/>
                <w:color w:val="auto"/>
                <w:sz w:val="20"/>
                <w:szCs w:val="20"/>
                <w:lang w:val="es-CL"/>
              </w:rPr>
              <w:t xml:space="preserve"> para evaluar aplicación del GHS</w:t>
            </w:r>
          </w:p>
        </w:tc>
        <w:tc>
          <w:tcPr>
            <w:tcW w:w="4555" w:type="dxa"/>
            <w:shd w:val="clear" w:color="auto" w:fill="auto"/>
          </w:tcPr>
          <w:p w:rsidR="006720D8" w:rsidRPr="00F13083" w:rsidRDefault="006720D8" w:rsidP="00C37B65">
            <w:pPr>
              <w:spacing w:after="0" w:line="240" w:lineRule="auto"/>
              <w:rPr>
                <w:kern w:val="0"/>
                <w:sz w:val="20"/>
                <w:lang w:val="es-CL"/>
              </w:rPr>
            </w:pPr>
            <w:r w:rsidRPr="00F13083">
              <w:rPr>
                <w:kern w:val="0"/>
                <w:sz w:val="20"/>
                <w:lang w:val="es-CL"/>
              </w:rPr>
              <w:t>2.3.1) Convocar al representante del SERNAC u otra institución acorde  perteneciente al Comité para que lidere el subcomité</w:t>
            </w:r>
          </w:p>
          <w:p w:rsidR="006720D8" w:rsidRPr="00F13083" w:rsidRDefault="006720D8" w:rsidP="00C37B65">
            <w:pPr>
              <w:spacing w:after="0" w:line="240" w:lineRule="auto"/>
              <w:rPr>
                <w:kern w:val="0"/>
                <w:sz w:val="20"/>
                <w:lang w:val="es-CL"/>
              </w:rPr>
            </w:pPr>
            <w:r w:rsidRPr="00F13083">
              <w:rPr>
                <w:kern w:val="0"/>
                <w:sz w:val="20"/>
                <w:lang w:val="es-CL"/>
              </w:rPr>
              <w:t>2.3.2) Establecer los objetivos, plan de trabajo y organigrama del subcomité</w:t>
            </w:r>
          </w:p>
          <w:p w:rsidR="006720D8" w:rsidRPr="00F13083" w:rsidRDefault="006720D8" w:rsidP="00C37B65">
            <w:pPr>
              <w:spacing w:after="0" w:line="240" w:lineRule="auto"/>
              <w:rPr>
                <w:kern w:val="0"/>
                <w:sz w:val="20"/>
                <w:lang w:val="es-CL"/>
              </w:rPr>
            </w:pPr>
          </w:p>
        </w:tc>
        <w:tc>
          <w:tcPr>
            <w:tcW w:w="1362" w:type="dxa"/>
            <w:vMerge/>
            <w:shd w:val="clear" w:color="auto" w:fill="auto"/>
          </w:tcPr>
          <w:p w:rsidR="006720D8" w:rsidRPr="00BA10CE" w:rsidRDefault="006720D8" w:rsidP="00C37B65">
            <w:pPr>
              <w:spacing w:after="0" w:line="240" w:lineRule="auto"/>
              <w:rPr>
                <w:rFonts w:ascii="Calibri" w:hAnsi="Calibri" w:cs="Calibri"/>
                <w:kern w:val="0"/>
                <w:sz w:val="20"/>
                <w:lang w:val="es-CL"/>
              </w:rPr>
            </w:pPr>
          </w:p>
        </w:tc>
        <w:tc>
          <w:tcPr>
            <w:tcW w:w="843" w:type="dxa"/>
            <w:shd w:val="clear" w:color="auto" w:fill="auto"/>
          </w:tcPr>
          <w:p w:rsidR="006720D8" w:rsidRPr="00BA10CE" w:rsidRDefault="006720D8" w:rsidP="00C37B65">
            <w:pPr>
              <w:spacing w:after="0" w:line="240" w:lineRule="auto"/>
              <w:rPr>
                <w:kern w:val="0"/>
                <w:sz w:val="20"/>
                <w:lang w:val="es-CL"/>
              </w:rPr>
            </w:pPr>
            <w:r>
              <w:rPr>
                <w:kern w:val="0"/>
                <w:sz w:val="20"/>
                <w:lang w:val="es-CL"/>
              </w:rPr>
              <w:t>2016</w:t>
            </w:r>
          </w:p>
        </w:tc>
      </w:tr>
    </w:tbl>
    <w:p w:rsidR="00024189" w:rsidRDefault="00024189" w:rsidP="00C37B65">
      <w:pPr>
        <w:spacing w:after="200" w:line="276" w:lineRule="auto"/>
        <w:rPr>
          <w:lang w:val="es-CL"/>
        </w:rPr>
        <w:sectPr w:rsidR="00024189" w:rsidSect="006720D8">
          <w:pgSz w:w="12242" w:h="15842" w:code="119"/>
          <w:pgMar w:top="1145" w:right="1043" w:bottom="1145" w:left="1276" w:header="709" w:footer="709" w:gutter="0"/>
          <w:cols w:space="720"/>
          <w:titlePg/>
          <w:docGrid w:linePitch="360"/>
        </w:sectPr>
      </w:pPr>
    </w:p>
    <w:p w:rsidR="00DE44CA" w:rsidRPr="002E11C3" w:rsidRDefault="00DE44CA" w:rsidP="00C37B65">
      <w:pPr>
        <w:pStyle w:val="Heading1"/>
        <w:numPr>
          <w:ilvl w:val="0"/>
          <w:numId w:val="0"/>
        </w:numPr>
        <w:spacing w:before="0" w:after="180" w:line="264" w:lineRule="auto"/>
        <w:rPr>
          <w:sz w:val="22"/>
          <w:szCs w:val="22"/>
        </w:rPr>
      </w:pPr>
    </w:p>
    <w:sectPr w:rsidR="00DE44CA" w:rsidRPr="002E11C3" w:rsidSect="00024189">
      <w:pgSz w:w="12242" w:h="15842" w:code="119"/>
      <w:pgMar w:top="1145" w:right="1043" w:bottom="1145" w:left="1276"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173D" w:rsidRDefault="00EA173D">
      <w:pPr>
        <w:spacing w:after="0" w:line="240" w:lineRule="auto"/>
      </w:pPr>
      <w:r>
        <w:separator/>
      </w:r>
    </w:p>
  </w:endnote>
  <w:endnote w:type="continuationSeparator" w:id="0">
    <w:p w:rsidR="00EA173D" w:rsidRDefault="00EA17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w Cen MT">
    <w:altName w:val="Lucida Sans Unicode"/>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LucidaSansUnicode">
    <w:panose1 w:val="00000000000000000000"/>
    <w:charset w:val="00"/>
    <w:family w:val="auto"/>
    <w:notTrueType/>
    <w:pitch w:val="default"/>
    <w:sig w:usb0="00000003" w:usb1="00000000" w:usb2="00000000" w:usb3="00000000" w:csb0="00000001" w:csb1="00000000"/>
  </w:font>
  <w:font w:name="TwCenMT-Regular">
    <w:panose1 w:val="00000000000000000000"/>
    <w:charset w:val="00"/>
    <w:family w:val="swiss"/>
    <w:notTrueType/>
    <w:pitch w:val="default"/>
    <w:sig w:usb0="00000003" w:usb1="00000000" w:usb2="00000000" w:usb3="00000000" w:csb0="00000001" w:csb1="00000000"/>
  </w:font>
  <w:font w:name="TwCenMT-Italic">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TimesNewRoman">
    <w:panose1 w:val="00000000000000000000"/>
    <w:charset w:val="00"/>
    <w:family w:val="roman"/>
    <w:notTrueType/>
    <w:pitch w:val="default"/>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Times-Italic">
    <w:panose1 w:val="00000000000000000000"/>
    <w:charset w:val="00"/>
    <w:family w:val="auto"/>
    <w:notTrueType/>
    <w:pitch w:val="default"/>
    <w:sig w:usb0="00000003" w:usb1="00000000" w:usb2="00000000" w:usb3="00000000" w:csb0="00000001" w:csb1="00000000"/>
  </w:font>
  <w:font w:name="Delicious">
    <w:altName w:val="Delicious"/>
    <w:panose1 w:val="00000000000000000000"/>
    <w:charset w:val="00"/>
    <w:family w:val="roman"/>
    <w:notTrueType/>
    <w:pitch w:val="default"/>
    <w:sig w:usb0="00000003" w:usb1="00000000" w:usb2="00000000" w:usb3="00000000" w:csb0="00000001" w:csb1="00000000"/>
  </w:font>
  <w:font w:name="ArialMT">
    <w:altName w:val="MS Mincho"/>
    <w:panose1 w:val="00000000000000000000"/>
    <w:charset w:val="80"/>
    <w:family w:val="auto"/>
    <w:notTrueType/>
    <w:pitch w:val="default"/>
    <w:sig w:usb0="00000003" w:usb1="08070000" w:usb2="00000010" w:usb3="00000000" w:csb0="00020001" w:csb1="00000000"/>
  </w:font>
  <w:font w:name="Arial-Bold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2472218"/>
      <w:docPartObj>
        <w:docPartGallery w:val="Page Numbers (Bottom of Page)"/>
        <w:docPartUnique/>
      </w:docPartObj>
    </w:sdtPr>
    <w:sdtEndPr/>
    <w:sdtContent>
      <w:p w:rsidR="006D0FB7" w:rsidRDefault="006D0FB7">
        <w:pPr>
          <w:pStyle w:val="Footer"/>
          <w:jc w:val="right"/>
        </w:pPr>
        <w:r>
          <w:fldChar w:fldCharType="begin"/>
        </w:r>
        <w:r>
          <w:instrText xml:space="preserve"> PAGE   \* MERGEFORMAT </w:instrText>
        </w:r>
        <w:r>
          <w:fldChar w:fldCharType="separate"/>
        </w:r>
        <w:r w:rsidR="00E26991">
          <w:rPr>
            <w:noProof/>
          </w:rPr>
          <w:t>20</w:t>
        </w:r>
        <w:r>
          <w:rPr>
            <w:noProof/>
          </w:rPr>
          <w:fldChar w:fldCharType="end"/>
        </w:r>
      </w:p>
    </w:sdtContent>
  </w:sdt>
  <w:p w:rsidR="006D0FB7" w:rsidRPr="005170AE" w:rsidRDefault="006D0FB7">
    <w:pPr>
      <w:pStyle w:val="Piedepginapar"/>
      <w:rPr>
        <w:color w:val="auto"/>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FB7" w:rsidRDefault="006D0FB7"/>
  <w:p w:rsidR="006D0FB7" w:rsidRPr="005C5A38" w:rsidRDefault="006D0FB7">
    <w:pPr>
      <w:pStyle w:val="Piedepginaimpar"/>
      <w:rPr>
        <w:color w:val="auto"/>
      </w:rPr>
    </w:pPr>
    <w:r w:rsidRPr="005C5A38">
      <w:rPr>
        <w:color w:val="auto"/>
        <w:lang w:val="es-ES"/>
      </w:rPr>
      <w:t xml:space="preserve">Página </w:t>
    </w:r>
    <w:r w:rsidRPr="005C5A38">
      <w:rPr>
        <w:color w:val="auto"/>
      </w:rPr>
      <w:fldChar w:fldCharType="begin"/>
    </w:r>
    <w:r w:rsidRPr="005C5A38">
      <w:rPr>
        <w:color w:val="auto"/>
      </w:rPr>
      <w:instrText>PAGE   \* MERGEFORMAT</w:instrText>
    </w:r>
    <w:r w:rsidRPr="005C5A38">
      <w:rPr>
        <w:color w:val="auto"/>
      </w:rPr>
      <w:fldChar w:fldCharType="separate"/>
    </w:r>
    <w:r w:rsidR="00E26991" w:rsidRPr="00E26991">
      <w:rPr>
        <w:noProof/>
        <w:color w:val="auto"/>
        <w:sz w:val="24"/>
        <w:szCs w:val="24"/>
        <w:lang w:val="es-ES"/>
      </w:rPr>
      <w:t>21</w:t>
    </w:r>
    <w:r w:rsidRPr="005C5A38">
      <w:rPr>
        <w:color w:val="auto"/>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2472219"/>
      <w:docPartObj>
        <w:docPartGallery w:val="Page Numbers (Bottom of Page)"/>
        <w:docPartUnique/>
      </w:docPartObj>
    </w:sdtPr>
    <w:sdtEndPr/>
    <w:sdtContent>
      <w:p w:rsidR="006D0FB7" w:rsidRDefault="006D0FB7">
        <w:pPr>
          <w:pStyle w:val="Footer"/>
          <w:jc w:val="right"/>
        </w:pPr>
        <w:r>
          <w:fldChar w:fldCharType="begin"/>
        </w:r>
        <w:r>
          <w:instrText xml:space="preserve"> PAGE   \* MERGEFORMAT </w:instrText>
        </w:r>
        <w:r>
          <w:fldChar w:fldCharType="separate"/>
        </w:r>
        <w:r w:rsidR="00E26991">
          <w:rPr>
            <w:noProof/>
          </w:rPr>
          <w:t>120</w:t>
        </w:r>
        <w:r>
          <w:rPr>
            <w:noProof/>
          </w:rPr>
          <w:fldChar w:fldCharType="end"/>
        </w:r>
      </w:p>
    </w:sdtContent>
  </w:sdt>
  <w:p w:rsidR="006D0FB7" w:rsidRPr="00750C8A" w:rsidRDefault="006D0FB7" w:rsidP="00750C8A">
    <w:pPr>
      <w:pStyle w:val="Piedepginaimpar"/>
      <w:rPr>
        <w:color w:val="aut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173D" w:rsidRDefault="00EA173D">
      <w:pPr>
        <w:spacing w:after="0" w:line="240" w:lineRule="auto"/>
      </w:pPr>
      <w:r>
        <w:separator/>
      </w:r>
    </w:p>
  </w:footnote>
  <w:footnote w:type="continuationSeparator" w:id="0">
    <w:p w:rsidR="00EA173D" w:rsidRDefault="00EA173D">
      <w:pPr>
        <w:spacing w:after="0" w:line="240" w:lineRule="auto"/>
      </w:pPr>
      <w:r>
        <w:continuationSeparator/>
      </w:r>
    </w:p>
  </w:footnote>
  <w:footnote w:id="1">
    <w:p w:rsidR="006D0FB7" w:rsidRPr="00E61C46" w:rsidRDefault="006D0FB7">
      <w:pPr>
        <w:pStyle w:val="FootnoteText"/>
      </w:pPr>
      <w:r>
        <w:rPr>
          <w:rStyle w:val="FootnoteReference"/>
        </w:rPr>
        <w:footnoteRef/>
      </w:r>
      <w:r>
        <w:t xml:space="preserve"> </w:t>
      </w:r>
      <w:r w:rsidRPr="00E61C46">
        <w:t>http://www2.unitar.org/cwm/publications/cbl/ghs/index.htm</w:t>
      </w:r>
    </w:p>
  </w:footnote>
  <w:footnote w:id="2">
    <w:p w:rsidR="006D0FB7" w:rsidRPr="005B5E00" w:rsidRDefault="006D0FB7" w:rsidP="005B5E00">
      <w:pPr>
        <w:pStyle w:val="FootnoteText"/>
      </w:pPr>
      <w:r>
        <w:rPr>
          <w:rStyle w:val="FootnoteReference"/>
        </w:rPr>
        <w:footnoteRef/>
      </w:r>
      <w:r>
        <w:t xml:space="preserve"> </w:t>
      </w:r>
      <w:r w:rsidRPr="005B5E00">
        <w:t>http://www.portalreach.info/reach/</w:t>
      </w:r>
    </w:p>
  </w:footnote>
  <w:footnote w:id="3">
    <w:p w:rsidR="006D0FB7" w:rsidRPr="005B5E00" w:rsidRDefault="006D0FB7">
      <w:pPr>
        <w:pStyle w:val="FootnoteText"/>
      </w:pPr>
      <w:r>
        <w:rPr>
          <w:rStyle w:val="FootnoteReference"/>
        </w:rPr>
        <w:footnoteRef/>
      </w:r>
      <w:r>
        <w:t xml:space="preserve"> </w:t>
      </w:r>
      <w:r w:rsidRPr="005B5E00">
        <w:rPr>
          <w:rFonts w:cs="TwCenMT-Regular"/>
        </w:rPr>
        <w:t>http://www.echemportal.org/echemportal/index?pageID=0&amp;request_locale=en</w:t>
      </w:r>
    </w:p>
  </w:footnote>
  <w:footnote w:id="4">
    <w:p w:rsidR="006D0FB7" w:rsidRPr="000A29B0" w:rsidRDefault="006D0FB7" w:rsidP="005B5E00">
      <w:pPr>
        <w:autoSpaceDE w:val="0"/>
        <w:autoSpaceDN w:val="0"/>
        <w:adjustRightInd w:val="0"/>
        <w:spacing w:after="0" w:line="240" w:lineRule="auto"/>
        <w:rPr>
          <w:rFonts w:cs="TwCenMT-Regular"/>
          <w:kern w:val="0"/>
          <w:sz w:val="20"/>
          <w:lang w:val="es-ES"/>
        </w:rPr>
      </w:pPr>
      <w:r w:rsidRPr="005B5E00">
        <w:rPr>
          <w:rStyle w:val="FootnoteReference"/>
          <w:sz w:val="20"/>
        </w:rPr>
        <w:footnoteRef/>
      </w:r>
      <w:r w:rsidRPr="000A29B0">
        <w:rPr>
          <w:sz w:val="20"/>
          <w:lang w:val="es-ES"/>
        </w:rPr>
        <w:t xml:space="preserve"> </w:t>
      </w:r>
      <w:r w:rsidRPr="000A29B0">
        <w:rPr>
          <w:rFonts w:cs="TwCenMT-Regular"/>
          <w:kern w:val="0"/>
          <w:sz w:val="20"/>
          <w:lang w:val="es-ES"/>
        </w:rPr>
        <w:t>http://www.oecd-ilibrary.org/environment/oecd-guidelines-for-the-testing</w:t>
      </w:r>
      <w:r>
        <w:rPr>
          <w:rFonts w:cs="TwCenMT-Regular"/>
          <w:kern w:val="0"/>
          <w:sz w:val="20"/>
          <w:lang w:val="es-ES"/>
        </w:rPr>
        <w:t>-of-</w:t>
      </w:r>
      <w:r w:rsidRPr="000A29B0">
        <w:rPr>
          <w:rFonts w:cs="TwCenMT-Regular"/>
          <w:kern w:val="0"/>
          <w:sz w:val="20"/>
          <w:lang w:val="es-ES"/>
        </w:rPr>
        <w:t>chemicals_chem_guide_pkgen;jsessionid=h4jolmhgncfnr.x-oecd-live-01</w:t>
      </w:r>
    </w:p>
  </w:footnote>
  <w:footnote w:id="5">
    <w:p w:rsidR="006D0FB7" w:rsidRPr="000A29B0" w:rsidRDefault="006D0FB7">
      <w:pPr>
        <w:pStyle w:val="FootnoteText"/>
      </w:pPr>
      <w:r w:rsidRPr="000A29B0">
        <w:rPr>
          <w:rStyle w:val="FootnoteReference"/>
        </w:rPr>
        <w:footnoteRef/>
      </w:r>
      <w:r w:rsidRPr="000A29B0">
        <w:t xml:space="preserve"> </w:t>
      </w:r>
      <w:r w:rsidRPr="000A29B0">
        <w:rPr>
          <w:rFonts w:cs="TwCenMT-Regular"/>
        </w:rPr>
        <w:t>http://www.oecd.org/chemicalsafety/testing/38735710.pdf</w:t>
      </w:r>
    </w:p>
  </w:footnote>
  <w:footnote w:id="6">
    <w:p w:rsidR="006D0FB7" w:rsidRPr="009C479E" w:rsidRDefault="006D0FB7">
      <w:pPr>
        <w:pStyle w:val="FootnoteText"/>
      </w:pPr>
      <w:r>
        <w:rPr>
          <w:rStyle w:val="FootnoteReference"/>
        </w:rPr>
        <w:footnoteRef/>
      </w:r>
      <w:r>
        <w:t xml:space="preserve"> </w:t>
      </w:r>
      <w:hyperlink r:id="rId1" w:history="1">
        <w:r w:rsidRPr="009C479E">
          <w:rPr>
            <w:rStyle w:val="Hyperlink"/>
            <w:color w:val="auto"/>
            <w:u w:val="none"/>
          </w:rPr>
          <w:t>http://great.cla.gov.tw/ENG/index.aspx</w:t>
        </w:r>
      </w:hyperlink>
    </w:p>
  </w:footnote>
  <w:footnote w:id="7">
    <w:p w:rsidR="006D0FB7" w:rsidRPr="000A29B0" w:rsidRDefault="006D0FB7">
      <w:pPr>
        <w:pStyle w:val="FootnoteText"/>
      </w:pPr>
      <w:r>
        <w:rPr>
          <w:rStyle w:val="FootnoteReference"/>
        </w:rPr>
        <w:footnoteRef/>
      </w:r>
      <w:r>
        <w:t xml:space="preserve"> </w:t>
      </w:r>
      <w:r w:rsidRPr="000A29B0">
        <w:rPr>
          <w:rFonts w:cs="TwCenMT-Regular"/>
        </w:rPr>
        <w:t>http://mddb.apec.org/documents/2012/mm/mrt/12_mrt_007.pdf</w:t>
      </w:r>
    </w:p>
  </w:footnote>
  <w:footnote w:id="8">
    <w:p w:rsidR="006D0FB7" w:rsidRPr="003E396B" w:rsidRDefault="006D0FB7" w:rsidP="00F008E6">
      <w:pPr>
        <w:pStyle w:val="FootnoteText"/>
      </w:pPr>
      <w:r>
        <w:rPr>
          <w:rStyle w:val="FootnoteReference"/>
        </w:rPr>
        <w:footnoteRef/>
      </w:r>
      <w:r>
        <w:t xml:space="preserve"> </w:t>
      </w:r>
      <w:r w:rsidRPr="003E396B">
        <w:t xml:space="preserve">REACH (Reglamento </w:t>
      </w:r>
      <w:r>
        <w:t>CE</w:t>
      </w:r>
      <w:r w:rsidRPr="003E396B">
        <w:t xml:space="preserve"> nº 1907/2006)</w:t>
      </w:r>
      <w:r>
        <w:t>:</w:t>
      </w:r>
      <w:r w:rsidRPr="003E396B">
        <w:t xml:space="preserve"> es el Reglamento e</w:t>
      </w:r>
      <w:r>
        <w:t xml:space="preserve">uropeo relativo al registro, evaluación, autorización y </w:t>
      </w:r>
      <w:r w:rsidRPr="003E396B">
        <w:t xml:space="preserve"> restricción de las sustancias y mezclas químicas (Registration, Evaluation, Authorisation</w:t>
      </w:r>
      <w:r>
        <w:t xml:space="preserve"> and </w:t>
      </w:r>
      <w:r w:rsidRPr="003E396B">
        <w:t>Restriction of Chemicals). Fue aprobado el 18 de diciembre de 2006 y entró en vigor el 1 de junio de 2007.</w:t>
      </w:r>
    </w:p>
  </w:footnote>
  <w:footnote w:id="9">
    <w:p w:rsidR="006D0FB7" w:rsidRPr="008F47A5" w:rsidRDefault="006D0FB7" w:rsidP="006E1497">
      <w:pPr>
        <w:pStyle w:val="FootnoteText"/>
        <w:rPr>
          <w:lang w:val="es-CL"/>
        </w:rPr>
      </w:pPr>
      <w:r>
        <w:rPr>
          <w:rStyle w:val="FootnoteReference"/>
        </w:rPr>
        <w:footnoteRef/>
      </w:r>
      <w:r>
        <w:rPr>
          <w:lang w:val="es-CL"/>
        </w:rPr>
        <w:t xml:space="preserve"> </w:t>
      </w:r>
      <w:r w:rsidRPr="008F47A5">
        <w:rPr>
          <w:sz w:val="18"/>
          <w:szCs w:val="18"/>
          <w:lang w:val="es-CL"/>
        </w:rPr>
        <w:t>http://great.osha.gov.tw/content/image/fck/2012%20CD%20Virtual%20Working%20Group%20Report(3).pdf</w:t>
      </w:r>
    </w:p>
  </w:footnote>
  <w:footnote w:id="10">
    <w:p w:rsidR="006D0FB7" w:rsidRPr="00D2170E" w:rsidRDefault="006D0FB7" w:rsidP="006E1497">
      <w:pPr>
        <w:pStyle w:val="FootnoteText"/>
        <w:rPr>
          <w:lang w:val="es-CL"/>
        </w:rPr>
      </w:pPr>
      <w:r>
        <w:rPr>
          <w:rStyle w:val="FootnoteReference"/>
        </w:rPr>
        <w:footnoteRef/>
      </w:r>
      <w:r>
        <w:t xml:space="preserve"> </w:t>
      </w:r>
      <w:r w:rsidRPr="00D2170E">
        <w:rPr>
          <w:sz w:val="18"/>
          <w:szCs w:val="18"/>
        </w:rPr>
        <w:t>http://www2.unitar.org/cwm/publications/cw/ghs/UNITAR_ILO_OECD_Questionnaire_report_final.pdf</w:t>
      </w:r>
    </w:p>
  </w:footnote>
  <w:footnote w:id="11">
    <w:p w:rsidR="006D0FB7" w:rsidRPr="00C07931" w:rsidRDefault="006D0FB7" w:rsidP="00340C81">
      <w:pPr>
        <w:pStyle w:val="FootnoteText"/>
        <w:rPr>
          <w:lang w:val="es-CL"/>
        </w:rPr>
      </w:pPr>
      <w:r>
        <w:rPr>
          <w:rStyle w:val="FootnoteReference"/>
        </w:rPr>
        <w:footnoteRef/>
      </w:r>
      <w:r>
        <w:t xml:space="preserve"> </w:t>
      </w:r>
      <w:r w:rsidRPr="001C3AD9">
        <w:rPr>
          <w:sz w:val="16"/>
          <w:szCs w:val="16"/>
        </w:rPr>
        <w:t>http://www.un.org/esa/dsd/dsd_aofw_ni/ni_pdfs/NationalReports/mexico/MexicoNationalReportcsd18.pdf</w:t>
      </w:r>
    </w:p>
  </w:footnote>
  <w:footnote w:id="12">
    <w:p w:rsidR="006D0FB7" w:rsidRPr="004A1FB2" w:rsidRDefault="006D0FB7" w:rsidP="00D9198A">
      <w:pPr>
        <w:pStyle w:val="FootnoteText"/>
        <w:rPr>
          <w:lang w:val="es-CL"/>
        </w:rPr>
      </w:pPr>
      <w:r w:rsidRPr="004A1FB2">
        <w:rPr>
          <w:rStyle w:val="FootnoteReference"/>
        </w:rPr>
        <w:footnoteRef/>
      </w:r>
      <w:r w:rsidRPr="004A1FB2">
        <w:t xml:space="preserve"> </w:t>
      </w:r>
      <w:r w:rsidRPr="004A1FB2">
        <w:rPr>
          <w:sz w:val="16"/>
          <w:szCs w:val="16"/>
        </w:rPr>
        <w:t>http://www.unece.org/trans/danger/publi/ghs/implementation_e.html#c25955</w:t>
      </w:r>
    </w:p>
  </w:footnote>
  <w:footnote w:id="13">
    <w:p w:rsidR="006D0FB7" w:rsidRPr="00462798" w:rsidRDefault="006D0FB7" w:rsidP="00D9198A">
      <w:pPr>
        <w:pStyle w:val="FootnoteText"/>
        <w:rPr>
          <w:lang w:val="es-CL"/>
        </w:rPr>
      </w:pPr>
      <w:r>
        <w:rPr>
          <w:rStyle w:val="FootnoteReference"/>
        </w:rPr>
        <w:footnoteRef/>
      </w:r>
      <w:r>
        <w:t xml:space="preserve"> </w:t>
      </w:r>
      <w:r w:rsidRPr="004A1FB2">
        <w:rPr>
          <w:sz w:val="16"/>
          <w:szCs w:val="16"/>
        </w:rPr>
        <w:t>http://www.actio.net/default/index.cfm/actio-blog/europes-clp-regulation-overview-deadlines-and-fees/</w:t>
      </w:r>
    </w:p>
  </w:footnote>
  <w:footnote w:id="14">
    <w:p w:rsidR="006D0FB7" w:rsidRPr="00985C7E" w:rsidRDefault="006D0FB7" w:rsidP="00D9198A">
      <w:pPr>
        <w:pStyle w:val="FootnoteText"/>
        <w:rPr>
          <w:lang w:val="es-CL"/>
        </w:rPr>
      </w:pPr>
      <w:r>
        <w:rPr>
          <w:rStyle w:val="FootnoteReference"/>
        </w:rPr>
        <w:footnoteRef/>
      </w:r>
      <w:r>
        <w:t xml:space="preserve"> </w:t>
      </w:r>
      <w:r w:rsidRPr="004A1FB2">
        <w:rPr>
          <w:sz w:val="16"/>
          <w:szCs w:val="16"/>
        </w:rPr>
        <w:t>http://echa.europa.eu/web/guest/about-us/who-we-are/enforcement-forum</w:t>
      </w:r>
    </w:p>
  </w:footnote>
  <w:footnote w:id="15">
    <w:p w:rsidR="006D0FB7" w:rsidRPr="00191613" w:rsidRDefault="006D0FB7" w:rsidP="00D9198A">
      <w:pPr>
        <w:pStyle w:val="FootnoteText"/>
        <w:rPr>
          <w:lang w:val="es-CL"/>
        </w:rPr>
      </w:pPr>
      <w:r>
        <w:rPr>
          <w:rStyle w:val="FootnoteReference"/>
        </w:rPr>
        <w:footnoteRef/>
      </w:r>
      <w:r>
        <w:t xml:space="preserve"> </w:t>
      </w:r>
      <w:r w:rsidRPr="004A1FB2">
        <w:rPr>
          <w:sz w:val="16"/>
          <w:szCs w:val="16"/>
        </w:rPr>
        <w:t>http://echa.europa.eu/documents/10162/13577/forum_report_ref3_en.pdf</w:t>
      </w:r>
    </w:p>
  </w:footnote>
  <w:footnote w:id="16">
    <w:p w:rsidR="006D0FB7" w:rsidRPr="0011079B" w:rsidRDefault="006D0FB7" w:rsidP="002D77CE">
      <w:pPr>
        <w:pStyle w:val="FootnoteText"/>
        <w:jc w:val="left"/>
        <w:rPr>
          <w:lang w:val="es-CL"/>
        </w:rPr>
      </w:pPr>
      <w:r>
        <w:rPr>
          <w:rStyle w:val="FootnoteReference"/>
        </w:rPr>
        <w:footnoteRef/>
      </w:r>
      <w:r>
        <w:rPr>
          <w:sz w:val="16"/>
          <w:szCs w:val="16"/>
        </w:rPr>
        <w:t xml:space="preserve"> Banco Central, 2013. </w:t>
      </w:r>
      <w:r w:rsidRPr="002D77CE">
        <w:rPr>
          <w:sz w:val="16"/>
          <w:szCs w:val="16"/>
        </w:rPr>
        <w:t>http://www.bcentral.cl/estadisticas-economicas/publicaciones-digitales/anuario_ccnn/listado2013/ACN002H_2013_Coment.pdf</w:t>
      </w:r>
    </w:p>
  </w:footnote>
  <w:footnote w:id="17">
    <w:p w:rsidR="006D0FB7" w:rsidRPr="004A1FB2" w:rsidRDefault="006D0FB7" w:rsidP="00FB4186">
      <w:pPr>
        <w:pStyle w:val="FootnoteText"/>
      </w:pPr>
      <w:r>
        <w:rPr>
          <w:rStyle w:val="FootnoteReference"/>
        </w:rPr>
        <w:footnoteRef/>
      </w:r>
      <w:r w:rsidRPr="004A1FB2">
        <w:rPr>
          <w:sz w:val="16"/>
          <w:szCs w:val="16"/>
        </w:rPr>
        <w:t>ODEPA, 2009. “Fertilizantes en Chile: Coyuntura y perspectivas”, Jacqueline Espinoza Oyarzún</w:t>
      </w:r>
    </w:p>
  </w:footnote>
  <w:footnote w:id="18">
    <w:p w:rsidR="006D0FB7" w:rsidRPr="007F06B1" w:rsidRDefault="006D0FB7" w:rsidP="00FB4186">
      <w:pPr>
        <w:pStyle w:val="FootnoteText"/>
      </w:pPr>
      <w:r>
        <w:rPr>
          <w:rStyle w:val="FootnoteReference"/>
        </w:rPr>
        <w:footnoteRef/>
      </w:r>
      <w:r w:rsidRPr="004A1FB2">
        <w:rPr>
          <w:sz w:val="16"/>
          <w:szCs w:val="16"/>
        </w:rPr>
        <w:t>SERNAGEOMIN, 2013. “Anuario de la Minería de Chile”</w:t>
      </w:r>
    </w:p>
  </w:footnote>
  <w:footnote w:id="19">
    <w:p w:rsidR="006D0FB7" w:rsidRPr="007F06B1" w:rsidRDefault="006D0FB7" w:rsidP="00FB4186">
      <w:pPr>
        <w:pStyle w:val="FootnoteText"/>
      </w:pPr>
      <w:r>
        <w:rPr>
          <w:rStyle w:val="FootnoteReference"/>
        </w:rPr>
        <w:footnoteRef/>
      </w:r>
      <w:r w:rsidRPr="004A1FB2">
        <w:rPr>
          <w:sz w:val="16"/>
          <w:szCs w:val="16"/>
        </w:rPr>
        <w:t>ASIQUIM, 2011. http://www.asiquim.com/asiquim2/menu_sector.php</w:t>
      </w:r>
    </w:p>
  </w:footnote>
  <w:footnote w:id="20">
    <w:p w:rsidR="006D0FB7" w:rsidRPr="00701B3F" w:rsidRDefault="006D0FB7" w:rsidP="008D019A">
      <w:pPr>
        <w:pStyle w:val="FootnoteText"/>
        <w:rPr>
          <w:sz w:val="18"/>
          <w:szCs w:val="18"/>
        </w:rPr>
      </w:pPr>
      <w:r w:rsidRPr="00701B3F">
        <w:rPr>
          <w:rStyle w:val="FootnoteReference"/>
          <w:sz w:val="18"/>
          <w:szCs w:val="18"/>
        </w:rPr>
        <w:footnoteRef/>
      </w:r>
      <w:r w:rsidRPr="0080451F">
        <w:rPr>
          <w:sz w:val="16"/>
          <w:szCs w:val="16"/>
        </w:rPr>
        <w:t>Servicio Nacional de Aduanas, http://www.aduana.cl</w:t>
      </w:r>
    </w:p>
  </w:footnote>
  <w:footnote w:id="21">
    <w:p w:rsidR="006D0FB7" w:rsidRPr="00701B3F" w:rsidRDefault="006D0FB7" w:rsidP="008D019A">
      <w:pPr>
        <w:pStyle w:val="FootnoteText"/>
        <w:rPr>
          <w:sz w:val="18"/>
          <w:szCs w:val="18"/>
        </w:rPr>
      </w:pPr>
      <w:r w:rsidRPr="00701B3F">
        <w:rPr>
          <w:rStyle w:val="FootnoteReference"/>
          <w:sz w:val="18"/>
          <w:szCs w:val="18"/>
        </w:rPr>
        <w:footnoteRef/>
      </w:r>
      <w:r w:rsidRPr="0080451F">
        <w:rPr>
          <w:sz w:val="16"/>
          <w:szCs w:val="16"/>
        </w:rPr>
        <w:t>SERNAGEOMIN, 2013, “Anuario de la Minería Chilena”, COCHILCO, 2013, “Monitoreo de los minerales industriales en Chile”.</w:t>
      </w:r>
    </w:p>
  </w:footnote>
  <w:footnote w:id="22">
    <w:p w:rsidR="006D0FB7" w:rsidRPr="00A1772E" w:rsidRDefault="006D0FB7" w:rsidP="00801F1D">
      <w:pPr>
        <w:pStyle w:val="FootnoteText"/>
        <w:rPr>
          <w:sz w:val="18"/>
          <w:szCs w:val="18"/>
        </w:rPr>
      </w:pPr>
      <w:r w:rsidRPr="00A1772E">
        <w:rPr>
          <w:rStyle w:val="FootnoteReference"/>
          <w:sz w:val="18"/>
          <w:szCs w:val="18"/>
        </w:rPr>
        <w:footnoteRef/>
      </w:r>
      <w:r w:rsidRPr="00A1772E">
        <w:rPr>
          <w:sz w:val="18"/>
          <w:szCs w:val="18"/>
        </w:rPr>
        <w:t>Registro de Importadores y Exportadores de Sustancias que Dañan la Capa de Ozono (RE 5630 del 17 Oct. 2007)</w:t>
      </w:r>
    </w:p>
  </w:footnote>
  <w:footnote w:id="23">
    <w:p w:rsidR="006D0FB7" w:rsidRPr="00BF7DA3" w:rsidRDefault="006D0FB7" w:rsidP="00801F1D">
      <w:pPr>
        <w:autoSpaceDE w:val="0"/>
        <w:autoSpaceDN w:val="0"/>
        <w:adjustRightInd w:val="0"/>
        <w:rPr>
          <w:lang w:val="es-CL"/>
        </w:rPr>
      </w:pPr>
      <w:r w:rsidRPr="00A1772E">
        <w:rPr>
          <w:rStyle w:val="FootnoteReference"/>
          <w:sz w:val="18"/>
          <w:szCs w:val="18"/>
        </w:rPr>
        <w:footnoteRef/>
      </w:r>
      <w:r w:rsidRPr="00A1772E">
        <w:rPr>
          <w:rFonts w:cstheme="minorBidi"/>
          <w:kern w:val="0"/>
          <w:sz w:val="18"/>
          <w:szCs w:val="18"/>
          <w:lang w:val="es-ES" w:eastAsia="en-US"/>
        </w:rPr>
        <w:t>Registro nacional de productos plaguicidas de uso sanitario y doméstico (DS 157/05)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FB7" w:rsidRDefault="006D0FB7">
    <w:pPr>
      <w:pStyle w:val="Header"/>
    </w:pPr>
  </w:p>
  <w:p w:rsidR="006D0FB7" w:rsidRPr="004424C7" w:rsidRDefault="006D0FB7" w:rsidP="004424C7">
    <w:pPr>
      <w:pStyle w:val="Encabezadoimpar"/>
      <w:rPr>
        <w:color w:val="0070C0"/>
        <w:lang w:val="es-C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FB7" w:rsidRPr="00D45917" w:rsidRDefault="006D0FB7" w:rsidP="00D45917">
    <w:pPr>
      <w:pStyle w:val="Encabezadoimpar"/>
      <w:jc w:val="left"/>
      <w:rPr>
        <w:color w:val="0070C0"/>
        <w:lang w:val="es-C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FB7" w:rsidRPr="00246E61" w:rsidRDefault="006D0FB7" w:rsidP="00246E61">
    <w:pPr>
      <w:pStyle w:val="Header"/>
      <w:tabs>
        <w:tab w:val="clear" w:pos="4320"/>
        <w:tab w:val="clear" w:pos="8640"/>
        <w:tab w:val="left" w:pos="2567"/>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DB96C0E0"/>
    <w:lvl w:ilvl="0">
      <w:start w:val="1"/>
      <w:numFmt w:val="bullet"/>
      <w:pStyle w:val="ListBullet5"/>
      <w:lvlText w:val=""/>
      <w:lvlJc w:val="left"/>
      <w:pPr>
        <w:ind w:left="1584" w:hanging="360"/>
      </w:pPr>
      <w:rPr>
        <w:rFonts w:ascii="Wingdings" w:hAnsi="Wingdings" w:cs="Wingdings" w:hint="default"/>
      </w:rPr>
    </w:lvl>
  </w:abstractNum>
  <w:abstractNum w:abstractNumId="1" w15:restartNumberingAfterBreak="0">
    <w:nsid w:val="FFFFFF81"/>
    <w:multiLevelType w:val="singleLevel"/>
    <w:tmpl w:val="E806DD90"/>
    <w:lvl w:ilvl="0">
      <w:start w:val="1"/>
      <w:numFmt w:val="bullet"/>
      <w:pStyle w:val="ListBullet4"/>
      <w:lvlText w:val=""/>
      <w:lvlJc w:val="left"/>
      <w:pPr>
        <w:ind w:left="1440" w:hanging="360"/>
      </w:pPr>
      <w:rPr>
        <w:rFonts w:ascii="Wingdings" w:hAnsi="Wingdings" w:cs="Wingdings" w:hint="default"/>
      </w:rPr>
    </w:lvl>
  </w:abstractNum>
  <w:abstractNum w:abstractNumId="2" w15:restartNumberingAfterBreak="0">
    <w:nsid w:val="FFFFFF82"/>
    <w:multiLevelType w:val="singleLevel"/>
    <w:tmpl w:val="016CFCA8"/>
    <w:lvl w:ilvl="0">
      <w:start w:val="1"/>
      <w:numFmt w:val="bullet"/>
      <w:pStyle w:val="ListBullet3"/>
      <w:lvlText w:val=""/>
      <w:lvlJc w:val="left"/>
      <w:pPr>
        <w:ind w:left="864" w:hanging="360"/>
      </w:pPr>
      <w:rPr>
        <w:rFonts w:ascii="Wingdings" w:hAnsi="Wingdings" w:cs="Wingdings" w:hint="default"/>
      </w:rPr>
    </w:lvl>
  </w:abstractNum>
  <w:abstractNum w:abstractNumId="3" w15:restartNumberingAfterBreak="0">
    <w:nsid w:val="FFFFFF83"/>
    <w:multiLevelType w:val="singleLevel"/>
    <w:tmpl w:val="9356F1FA"/>
    <w:lvl w:ilvl="0">
      <w:start w:val="1"/>
      <w:numFmt w:val="bullet"/>
      <w:pStyle w:val="ListBullet2"/>
      <w:lvlText w:val=""/>
      <w:lvlJc w:val="left"/>
      <w:pPr>
        <w:ind w:left="720" w:hanging="360"/>
      </w:pPr>
      <w:rPr>
        <w:rFonts w:ascii="Wingdings 2" w:hAnsi="Wingdings 2" w:hint="default"/>
      </w:rPr>
    </w:lvl>
  </w:abstractNum>
  <w:abstractNum w:abstractNumId="4" w15:restartNumberingAfterBreak="0">
    <w:nsid w:val="013D3DC0"/>
    <w:multiLevelType w:val="hybridMultilevel"/>
    <w:tmpl w:val="76FE5C78"/>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2FE0694"/>
    <w:multiLevelType w:val="hybridMultilevel"/>
    <w:tmpl w:val="2780A5B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76A1E32"/>
    <w:multiLevelType w:val="hybridMultilevel"/>
    <w:tmpl w:val="4D645F1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15:restartNumberingAfterBreak="0">
    <w:nsid w:val="07B27A93"/>
    <w:multiLevelType w:val="hybridMultilevel"/>
    <w:tmpl w:val="A8CC2DC4"/>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07EA5950"/>
    <w:multiLevelType w:val="hybridMultilevel"/>
    <w:tmpl w:val="542443CA"/>
    <w:lvl w:ilvl="0" w:tplc="340A0001">
      <w:start w:val="1"/>
      <w:numFmt w:val="bullet"/>
      <w:lvlText w:val=""/>
      <w:lvlJc w:val="left"/>
      <w:pPr>
        <w:ind w:left="900" w:hanging="360"/>
      </w:pPr>
      <w:rPr>
        <w:rFonts w:ascii="Symbol" w:hAnsi="Symbol" w:hint="default"/>
      </w:rPr>
    </w:lvl>
    <w:lvl w:ilvl="1" w:tplc="340A0003" w:tentative="1">
      <w:start w:val="1"/>
      <w:numFmt w:val="bullet"/>
      <w:lvlText w:val="o"/>
      <w:lvlJc w:val="left"/>
      <w:pPr>
        <w:ind w:left="1620" w:hanging="360"/>
      </w:pPr>
      <w:rPr>
        <w:rFonts w:ascii="Courier New" w:hAnsi="Courier New" w:cs="Courier New" w:hint="default"/>
      </w:rPr>
    </w:lvl>
    <w:lvl w:ilvl="2" w:tplc="340A0005" w:tentative="1">
      <w:start w:val="1"/>
      <w:numFmt w:val="bullet"/>
      <w:lvlText w:val=""/>
      <w:lvlJc w:val="left"/>
      <w:pPr>
        <w:ind w:left="2340" w:hanging="360"/>
      </w:pPr>
      <w:rPr>
        <w:rFonts w:ascii="Wingdings" w:hAnsi="Wingdings" w:hint="default"/>
      </w:rPr>
    </w:lvl>
    <w:lvl w:ilvl="3" w:tplc="340A0001" w:tentative="1">
      <w:start w:val="1"/>
      <w:numFmt w:val="bullet"/>
      <w:lvlText w:val=""/>
      <w:lvlJc w:val="left"/>
      <w:pPr>
        <w:ind w:left="3060" w:hanging="360"/>
      </w:pPr>
      <w:rPr>
        <w:rFonts w:ascii="Symbol" w:hAnsi="Symbol" w:hint="default"/>
      </w:rPr>
    </w:lvl>
    <w:lvl w:ilvl="4" w:tplc="340A0003" w:tentative="1">
      <w:start w:val="1"/>
      <w:numFmt w:val="bullet"/>
      <w:lvlText w:val="o"/>
      <w:lvlJc w:val="left"/>
      <w:pPr>
        <w:ind w:left="3780" w:hanging="360"/>
      </w:pPr>
      <w:rPr>
        <w:rFonts w:ascii="Courier New" w:hAnsi="Courier New" w:cs="Courier New" w:hint="default"/>
      </w:rPr>
    </w:lvl>
    <w:lvl w:ilvl="5" w:tplc="340A0005" w:tentative="1">
      <w:start w:val="1"/>
      <w:numFmt w:val="bullet"/>
      <w:lvlText w:val=""/>
      <w:lvlJc w:val="left"/>
      <w:pPr>
        <w:ind w:left="4500" w:hanging="360"/>
      </w:pPr>
      <w:rPr>
        <w:rFonts w:ascii="Wingdings" w:hAnsi="Wingdings" w:hint="default"/>
      </w:rPr>
    </w:lvl>
    <w:lvl w:ilvl="6" w:tplc="340A0001" w:tentative="1">
      <w:start w:val="1"/>
      <w:numFmt w:val="bullet"/>
      <w:lvlText w:val=""/>
      <w:lvlJc w:val="left"/>
      <w:pPr>
        <w:ind w:left="5220" w:hanging="360"/>
      </w:pPr>
      <w:rPr>
        <w:rFonts w:ascii="Symbol" w:hAnsi="Symbol" w:hint="default"/>
      </w:rPr>
    </w:lvl>
    <w:lvl w:ilvl="7" w:tplc="340A0003" w:tentative="1">
      <w:start w:val="1"/>
      <w:numFmt w:val="bullet"/>
      <w:lvlText w:val="o"/>
      <w:lvlJc w:val="left"/>
      <w:pPr>
        <w:ind w:left="5940" w:hanging="360"/>
      </w:pPr>
      <w:rPr>
        <w:rFonts w:ascii="Courier New" w:hAnsi="Courier New" w:cs="Courier New" w:hint="default"/>
      </w:rPr>
    </w:lvl>
    <w:lvl w:ilvl="8" w:tplc="340A0005" w:tentative="1">
      <w:start w:val="1"/>
      <w:numFmt w:val="bullet"/>
      <w:lvlText w:val=""/>
      <w:lvlJc w:val="left"/>
      <w:pPr>
        <w:ind w:left="6660" w:hanging="360"/>
      </w:pPr>
      <w:rPr>
        <w:rFonts w:ascii="Wingdings" w:hAnsi="Wingdings" w:hint="default"/>
      </w:rPr>
    </w:lvl>
  </w:abstractNum>
  <w:abstractNum w:abstractNumId="9" w15:restartNumberingAfterBreak="0">
    <w:nsid w:val="082E0E4D"/>
    <w:multiLevelType w:val="hybridMultilevel"/>
    <w:tmpl w:val="897AA3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0856785E"/>
    <w:multiLevelType w:val="hybridMultilevel"/>
    <w:tmpl w:val="1BD4ED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08D61F09"/>
    <w:multiLevelType w:val="hybridMultilevel"/>
    <w:tmpl w:val="BF78D6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0D7A3F69"/>
    <w:multiLevelType w:val="hybridMultilevel"/>
    <w:tmpl w:val="A57C18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1826E9F"/>
    <w:multiLevelType w:val="hybridMultilevel"/>
    <w:tmpl w:val="572C92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128358DF"/>
    <w:multiLevelType w:val="hybridMultilevel"/>
    <w:tmpl w:val="78F49EC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15:restartNumberingAfterBreak="0">
    <w:nsid w:val="14A370B6"/>
    <w:multiLevelType w:val="hybridMultilevel"/>
    <w:tmpl w:val="4D541292"/>
    <w:lvl w:ilvl="0" w:tplc="C498A544">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16100ABF"/>
    <w:multiLevelType w:val="multilevel"/>
    <w:tmpl w:val="10A6EC00"/>
    <w:lvl w:ilvl="0">
      <w:start w:val="1"/>
      <w:numFmt w:val="decimal"/>
      <w:pStyle w:val="Heading1"/>
      <w:lvlText w:val="%1."/>
      <w:lvlJc w:val="left"/>
      <w:pPr>
        <w:ind w:left="2345" w:hanging="360"/>
      </w:pPr>
    </w:lvl>
    <w:lvl w:ilvl="1">
      <w:start w:val="1"/>
      <w:numFmt w:val="decimal"/>
      <w:pStyle w:val="Heading2"/>
      <w:lvlText w:val="%1.%2"/>
      <w:lvlJc w:val="left"/>
      <w:pPr>
        <w:ind w:left="860" w:hanging="576"/>
      </w:pPr>
    </w:lvl>
    <w:lvl w:ilvl="2">
      <w:start w:val="1"/>
      <w:numFmt w:val="decimal"/>
      <w:pStyle w:val="Heading3"/>
      <w:lvlText w:val="%1.%2.%3"/>
      <w:lvlJc w:val="left"/>
      <w:pPr>
        <w:ind w:left="1146" w:hanging="720"/>
      </w:pPr>
    </w:lvl>
    <w:lvl w:ilvl="3">
      <w:start w:val="1"/>
      <w:numFmt w:val="decimal"/>
      <w:pStyle w:val="Heading4"/>
      <w:lvlText w:val="%1.%2.%3.%4"/>
      <w:lvlJc w:val="left"/>
      <w:pPr>
        <w:ind w:left="864" w:hanging="864"/>
      </w:pPr>
      <w:rPr>
        <w:i/>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16EF0BF5"/>
    <w:multiLevelType w:val="hybridMultilevel"/>
    <w:tmpl w:val="86E220C0"/>
    <w:lvl w:ilvl="0" w:tplc="08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15:restartNumberingAfterBreak="0">
    <w:nsid w:val="19405CAA"/>
    <w:multiLevelType w:val="hybridMultilevel"/>
    <w:tmpl w:val="5ACCAB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1C580F9B"/>
    <w:multiLevelType w:val="hybridMultilevel"/>
    <w:tmpl w:val="3F9CBC5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1C5936FF"/>
    <w:multiLevelType w:val="hybridMultilevel"/>
    <w:tmpl w:val="17F8CD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209F3560"/>
    <w:multiLevelType w:val="hybridMultilevel"/>
    <w:tmpl w:val="AFA82D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20A9268A"/>
    <w:multiLevelType w:val="hybridMultilevel"/>
    <w:tmpl w:val="781428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21E922A4"/>
    <w:multiLevelType w:val="hybridMultilevel"/>
    <w:tmpl w:val="C5747F66"/>
    <w:lvl w:ilvl="0" w:tplc="E87C6032">
      <w:start w:val="1"/>
      <w:numFmt w:val="decimal"/>
      <w:lvlText w:val="%1)"/>
      <w:lvlJc w:val="left"/>
      <w:pPr>
        <w:ind w:left="720" w:hanging="360"/>
      </w:pPr>
      <w:rPr>
        <w:b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22BC35AF"/>
    <w:multiLevelType w:val="hybridMultilevel"/>
    <w:tmpl w:val="751076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23AA5747"/>
    <w:multiLevelType w:val="hybridMultilevel"/>
    <w:tmpl w:val="0EE826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23D563A6"/>
    <w:multiLevelType w:val="hybridMultilevel"/>
    <w:tmpl w:val="F67442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24050685"/>
    <w:multiLevelType w:val="hybridMultilevel"/>
    <w:tmpl w:val="ADA4F9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2543354A"/>
    <w:multiLevelType w:val="hybridMultilevel"/>
    <w:tmpl w:val="42D44D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269B48F1"/>
    <w:multiLevelType w:val="hybridMultilevel"/>
    <w:tmpl w:val="95904B4C"/>
    <w:lvl w:ilvl="0" w:tplc="0FFCAE26">
      <w:start w:val="1"/>
      <w:numFmt w:val="lowerRoman"/>
      <w:lvlText w:val="%1."/>
      <w:lvlJc w:val="righ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26CE61EE"/>
    <w:multiLevelType w:val="hybridMultilevel"/>
    <w:tmpl w:val="827C61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27343EC1"/>
    <w:multiLevelType w:val="hybridMultilevel"/>
    <w:tmpl w:val="A6942804"/>
    <w:lvl w:ilvl="0" w:tplc="A33EF59C">
      <w:start w:val="1"/>
      <w:numFmt w:val="lowerRoman"/>
      <w:lvlText w:val="%1."/>
      <w:lvlJc w:val="righ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28157722"/>
    <w:multiLevelType w:val="hybridMultilevel"/>
    <w:tmpl w:val="515C98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28A04BF2"/>
    <w:multiLevelType w:val="hybridMultilevel"/>
    <w:tmpl w:val="853235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2AB17A9B"/>
    <w:multiLevelType w:val="multilevel"/>
    <w:tmpl w:val="0409001D"/>
    <w:styleLink w:val="Estilodelistamediano"/>
    <w:lvl w:ilvl="0">
      <w:start w:val="1"/>
      <w:numFmt w:val="bullet"/>
      <w:lvlText w:val=""/>
      <w:lvlJc w:val="left"/>
      <w:pPr>
        <w:ind w:left="360" w:hanging="360"/>
      </w:pPr>
      <w:rPr>
        <w:rFonts w:ascii="Wingdings 2" w:hAnsi="Wingdings 2" w:hint="default"/>
        <w:color w:val="DD8047" w:themeColor="accent2"/>
        <w:sz w:val="23"/>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2C3D538B"/>
    <w:multiLevelType w:val="hybridMultilevel"/>
    <w:tmpl w:val="D292ACCE"/>
    <w:lvl w:ilvl="0" w:tplc="06A4FD76">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2C880799"/>
    <w:multiLevelType w:val="hybridMultilevel"/>
    <w:tmpl w:val="B7F49C8A"/>
    <w:lvl w:ilvl="0" w:tplc="557000B0">
      <w:start w:val="1"/>
      <w:numFmt w:val="bullet"/>
      <w:pStyle w:val="ListBullet"/>
      <w:lvlText w:val=""/>
      <w:lvlJc w:val="left"/>
      <w:pPr>
        <w:ind w:left="36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2CB67972"/>
    <w:multiLevelType w:val="hybridMultilevel"/>
    <w:tmpl w:val="A23447E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8" w15:restartNumberingAfterBreak="0">
    <w:nsid w:val="2EB0616E"/>
    <w:multiLevelType w:val="hybridMultilevel"/>
    <w:tmpl w:val="F796ED00"/>
    <w:lvl w:ilvl="0" w:tplc="FC0CDE4A">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2F8C37F0"/>
    <w:multiLevelType w:val="hybridMultilevel"/>
    <w:tmpl w:val="550281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2FF75205"/>
    <w:multiLevelType w:val="hybridMultilevel"/>
    <w:tmpl w:val="A754BA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307D67FC"/>
    <w:multiLevelType w:val="hybridMultilevel"/>
    <w:tmpl w:val="E1CCD9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30F149B7"/>
    <w:multiLevelType w:val="hybridMultilevel"/>
    <w:tmpl w:val="51524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32F634E1"/>
    <w:multiLevelType w:val="hybridMultilevel"/>
    <w:tmpl w:val="93940D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352A3882"/>
    <w:multiLevelType w:val="hybridMultilevel"/>
    <w:tmpl w:val="3252D9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367022F2"/>
    <w:multiLevelType w:val="hybridMultilevel"/>
    <w:tmpl w:val="9FFC00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387C1E5C"/>
    <w:multiLevelType w:val="hybridMultilevel"/>
    <w:tmpl w:val="C5F82F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394C4613"/>
    <w:multiLevelType w:val="hybridMultilevel"/>
    <w:tmpl w:val="14FC73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3AF16978"/>
    <w:multiLevelType w:val="hybridMultilevel"/>
    <w:tmpl w:val="F9583A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3BC65698"/>
    <w:multiLevelType w:val="hybridMultilevel"/>
    <w:tmpl w:val="7A6E75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15:restartNumberingAfterBreak="0">
    <w:nsid w:val="3F7A76D4"/>
    <w:multiLevelType w:val="hybridMultilevel"/>
    <w:tmpl w:val="A404CFB8"/>
    <w:lvl w:ilvl="0" w:tplc="6B7AB960">
      <w:start w:val="1"/>
      <w:numFmt w:val="decimal"/>
      <w:lvlText w:val="%1)"/>
      <w:lvlJc w:val="left"/>
      <w:pPr>
        <w:ind w:left="1080" w:hanging="360"/>
      </w:pPr>
      <w:rPr>
        <w:b w:val="0"/>
        <w:color w:val="auto"/>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51" w15:restartNumberingAfterBreak="0">
    <w:nsid w:val="401827E5"/>
    <w:multiLevelType w:val="hybridMultilevel"/>
    <w:tmpl w:val="02AE404A"/>
    <w:lvl w:ilvl="0" w:tplc="34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2" w15:restartNumberingAfterBreak="0">
    <w:nsid w:val="404A1A82"/>
    <w:multiLevelType w:val="hybridMultilevel"/>
    <w:tmpl w:val="83E468B4"/>
    <w:lvl w:ilvl="0" w:tplc="340A0011">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3" w15:restartNumberingAfterBreak="0">
    <w:nsid w:val="40AB255B"/>
    <w:multiLevelType w:val="hybridMultilevel"/>
    <w:tmpl w:val="ADDA27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4" w15:restartNumberingAfterBreak="0">
    <w:nsid w:val="43972C99"/>
    <w:multiLevelType w:val="hybridMultilevel"/>
    <w:tmpl w:val="03BEDB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5" w15:restartNumberingAfterBreak="0">
    <w:nsid w:val="44F36DC8"/>
    <w:multiLevelType w:val="hybridMultilevel"/>
    <w:tmpl w:val="AD040D98"/>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6" w15:restartNumberingAfterBreak="0">
    <w:nsid w:val="46F9792C"/>
    <w:multiLevelType w:val="hybridMultilevel"/>
    <w:tmpl w:val="B1DE1D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7" w15:restartNumberingAfterBreak="0">
    <w:nsid w:val="47BF22CC"/>
    <w:multiLevelType w:val="hybridMultilevel"/>
    <w:tmpl w:val="537E76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8" w15:restartNumberingAfterBreak="0">
    <w:nsid w:val="4B066827"/>
    <w:multiLevelType w:val="hybridMultilevel"/>
    <w:tmpl w:val="C186E48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9" w15:restartNumberingAfterBreak="0">
    <w:nsid w:val="4B6527B6"/>
    <w:multiLevelType w:val="hybridMultilevel"/>
    <w:tmpl w:val="4E50C8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0" w15:restartNumberingAfterBreak="0">
    <w:nsid w:val="4BA4052D"/>
    <w:multiLevelType w:val="hybridMultilevel"/>
    <w:tmpl w:val="7BCA8F0C"/>
    <w:lvl w:ilvl="0" w:tplc="982E8996">
      <w:start w:val="6"/>
      <w:numFmt w:val="bullet"/>
      <w:lvlText w:val="-"/>
      <w:lvlJc w:val="left"/>
      <w:pPr>
        <w:ind w:left="720" w:hanging="360"/>
      </w:pPr>
      <w:rPr>
        <w:rFonts w:ascii="Calibri" w:eastAsia="Times New Roman"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1" w15:restartNumberingAfterBreak="0">
    <w:nsid w:val="4DD40E4C"/>
    <w:multiLevelType w:val="hybridMultilevel"/>
    <w:tmpl w:val="C4E299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2" w15:restartNumberingAfterBreak="0">
    <w:nsid w:val="4DE3330E"/>
    <w:multiLevelType w:val="hybridMultilevel"/>
    <w:tmpl w:val="6F42C658"/>
    <w:lvl w:ilvl="0" w:tplc="340A0011">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3" w15:restartNumberingAfterBreak="0">
    <w:nsid w:val="4DEB778B"/>
    <w:multiLevelType w:val="hybridMultilevel"/>
    <w:tmpl w:val="88EC3F7C"/>
    <w:lvl w:ilvl="0" w:tplc="FC1EA598">
      <w:start w:val="1"/>
      <w:numFmt w:val="lowerLetter"/>
      <w:lvlText w:val="%1)"/>
      <w:lvlJc w:val="left"/>
      <w:pPr>
        <w:ind w:left="862" w:hanging="360"/>
      </w:pPr>
      <w:rPr>
        <w:b/>
        <w:i w:val="0"/>
      </w:rPr>
    </w:lvl>
    <w:lvl w:ilvl="1" w:tplc="0C0A0019" w:tentative="1">
      <w:start w:val="1"/>
      <w:numFmt w:val="lowerLetter"/>
      <w:lvlText w:val="%2."/>
      <w:lvlJc w:val="left"/>
      <w:pPr>
        <w:ind w:left="1582" w:hanging="360"/>
      </w:pPr>
    </w:lvl>
    <w:lvl w:ilvl="2" w:tplc="0C0A001B" w:tentative="1">
      <w:start w:val="1"/>
      <w:numFmt w:val="lowerRoman"/>
      <w:lvlText w:val="%3."/>
      <w:lvlJc w:val="right"/>
      <w:pPr>
        <w:ind w:left="2302" w:hanging="180"/>
      </w:pPr>
    </w:lvl>
    <w:lvl w:ilvl="3" w:tplc="0C0A000F" w:tentative="1">
      <w:start w:val="1"/>
      <w:numFmt w:val="decimal"/>
      <w:lvlText w:val="%4."/>
      <w:lvlJc w:val="left"/>
      <w:pPr>
        <w:ind w:left="3022" w:hanging="360"/>
      </w:pPr>
    </w:lvl>
    <w:lvl w:ilvl="4" w:tplc="0C0A0019" w:tentative="1">
      <w:start w:val="1"/>
      <w:numFmt w:val="lowerLetter"/>
      <w:lvlText w:val="%5."/>
      <w:lvlJc w:val="left"/>
      <w:pPr>
        <w:ind w:left="3742" w:hanging="360"/>
      </w:pPr>
    </w:lvl>
    <w:lvl w:ilvl="5" w:tplc="0C0A001B" w:tentative="1">
      <w:start w:val="1"/>
      <w:numFmt w:val="lowerRoman"/>
      <w:lvlText w:val="%6."/>
      <w:lvlJc w:val="right"/>
      <w:pPr>
        <w:ind w:left="4462" w:hanging="180"/>
      </w:pPr>
    </w:lvl>
    <w:lvl w:ilvl="6" w:tplc="0C0A000F" w:tentative="1">
      <w:start w:val="1"/>
      <w:numFmt w:val="decimal"/>
      <w:lvlText w:val="%7."/>
      <w:lvlJc w:val="left"/>
      <w:pPr>
        <w:ind w:left="5182" w:hanging="360"/>
      </w:pPr>
    </w:lvl>
    <w:lvl w:ilvl="7" w:tplc="0C0A0019" w:tentative="1">
      <w:start w:val="1"/>
      <w:numFmt w:val="lowerLetter"/>
      <w:lvlText w:val="%8."/>
      <w:lvlJc w:val="left"/>
      <w:pPr>
        <w:ind w:left="5902" w:hanging="360"/>
      </w:pPr>
    </w:lvl>
    <w:lvl w:ilvl="8" w:tplc="0C0A001B" w:tentative="1">
      <w:start w:val="1"/>
      <w:numFmt w:val="lowerRoman"/>
      <w:lvlText w:val="%9."/>
      <w:lvlJc w:val="right"/>
      <w:pPr>
        <w:ind w:left="6622" w:hanging="180"/>
      </w:pPr>
    </w:lvl>
  </w:abstractNum>
  <w:abstractNum w:abstractNumId="64" w15:restartNumberingAfterBreak="0">
    <w:nsid w:val="4E875CC4"/>
    <w:multiLevelType w:val="hybridMultilevel"/>
    <w:tmpl w:val="05B087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5" w15:restartNumberingAfterBreak="0">
    <w:nsid w:val="560F56BE"/>
    <w:multiLevelType w:val="hybridMultilevel"/>
    <w:tmpl w:val="D992714A"/>
    <w:lvl w:ilvl="0" w:tplc="0C0A0001">
      <w:start w:val="1"/>
      <w:numFmt w:val="bullet"/>
      <w:lvlText w:val=""/>
      <w:lvlJc w:val="left"/>
      <w:pPr>
        <w:ind w:left="678" w:hanging="360"/>
      </w:pPr>
      <w:rPr>
        <w:rFonts w:ascii="Symbol" w:hAnsi="Symbol" w:hint="default"/>
      </w:rPr>
    </w:lvl>
    <w:lvl w:ilvl="1" w:tplc="0C0A0003" w:tentative="1">
      <w:start w:val="1"/>
      <w:numFmt w:val="bullet"/>
      <w:lvlText w:val="o"/>
      <w:lvlJc w:val="left"/>
      <w:pPr>
        <w:ind w:left="1398" w:hanging="360"/>
      </w:pPr>
      <w:rPr>
        <w:rFonts w:ascii="Courier New" w:hAnsi="Courier New" w:cs="Courier New" w:hint="default"/>
      </w:rPr>
    </w:lvl>
    <w:lvl w:ilvl="2" w:tplc="0C0A0005" w:tentative="1">
      <w:start w:val="1"/>
      <w:numFmt w:val="bullet"/>
      <w:lvlText w:val=""/>
      <w:lvlJc w:val="left"/>
      <w:pPr>
        <w:ind w:left="2118" w:hanging="360"/>
      </w:pPr>
      <w:rPr>
        <w:rFonts w:ascii="Wingdings" w:hAnsi="Wingdings" w:hint="default"/>
      </w:rPr>
    </w:lvl>
    <w:lvl w:ilvl="3" w:tplc="0C0A0001" w:tentative="1">
      <w:start w:val="1"/>
      <w:numFmt w:val="bullet"/>
      <w:lvlText w:val=""/>
      <w:lvlJc w:val="left"/>
      <w:pPr>
        <w:ind w:left="2838" w:hanging="360"/>
      </w:pPr>
      <w:rPr>
        <w:rFonts w:ascii="Symbol" w:hAnsi="Symbol" w:hint="default"/>
      </w:rPr>
    </w:lvl>
    <w:lvl w:ilvl="4" w:tplc="0C0A0003" w:tentative="1">
      <w:start w:val="1"/>
      <w:numFmt w:val="bullet"/>
      <w:lvlText w:val="o"/>
      <w:lvlJc w:val="left"/>
      <w:pPr>
        <w:ind w:left="3558" w:hanging="360"/>
      </w:pPr>
      <w:rPr>
        <w:rFonts w:ascii="Courier New" w:hAnsi="Courier New" w:cs="Courier New" w:hint="default"/>
      </w:rPr>
    </w:lvl>
    <w:lvl w:ilvl="5" w:tplc="0C0A0005" w:tentative="1">
      <w:start w:val="1"/>
      <w:numFmt w:val="bullet"/>
      <w:lvlText w:val=""/>
      <w:lvlJc w:val="left"/>
      <w:pPr>
        <w:ind w:left="4278" w:hanging="360"/>
      </w:pPr>
      <w:rPr>
        <w:rFonts w:ascii="Wingdings" w:hAnsi="Wingdings" w:hint="default"/>
      </w:rPr>
    </w:lvl>
    <w:lvl w:ilvl="6" w:tplc="0C0A0001" w:tentative="1">
      <w:start w:val="1"/>
      <w:numFmt w:val="bullet"/>
      <w:lvlText w:val=""/>
      <w:lvlJc w:val="left"/>
      <w:pPr>
        <w:ind w:left="4998" w:hanging="360"/>
      </w:pPr>
      <w:rPr>
        <w:rFonts w:ascii="Symbol" w:hAnsi="Symbol" w:hint="default"/>
      </w:rPr>
    </w:lvl>
    <w:lvl w:ilvl="7" w:tplc="0C0A0003" w:tentative="1">
      <w:start w:val="1"/>
      <w:numFmt w:val="bullet"/>
      <w:lvlText w:val="o"/>
      <w:lvlJc w:val="left"/>
      <w:pPr>
        <w:ind w:left="5718" w:hanging="360"/>
      </w:pPr>
      <w:rPr>
        <w:rFonts w:ascii="Courier New" w:hAnsi="Courier New" w:cs="Courier New" w:hint="default"/>
      </w:rPr>
    </w:lvl>
    <w:lvl w:ilvl="8" w:tplc="0C0A0005" w:tentative="1">
      <w:start w:val="1"/>
      <w:numFmt w:val="bullet"/>
      <w:lvlText w:val=""/>
      <w:lvlJc w:val="left"/>
      <w:pPr>
        <w:ind w:left="6438" w:hanging="360"/>
      </w:pPr>
      <w:rPr>
        <w:rFonts w:ascii="Wingdings" w:hAnsi="Wingdings" w:hint="default"/>
      </w:rPr>
    </w:lvl>
  </w:abstractNum>
  <w:abstractNum w:abstractNumId="66" w15:restartNumberingAfterBreak="0">
    <w:nsid w:val="590268AA"/>
    <w:multiLevelType w:val="hybridMultilevel"/>
    <w:tmpl w:val="A46AFF7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7" w15:restartNumberingAfterBreak="0">
    <w:nsid w:val="59263D63"/>
    <w:multiLevelType w:val="hybridMultilevel"/>
    <w:tmpl w:val="91AE34EC"/>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8" w15:restartNumberingAfterBreak="0">
    <w:nsid w:val="5CAC0620"/>
    <w:multiLevelType w:val="hybridMultilevel"/>
    <w:tmpl w:val="3F9CBC5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9" w15:restartNumberingAfterBreak="0">
    <w:nsid w:val="650C4A94"/>
    <w:multiLevelType w:val="hybridMultilevel"/>
    <w:tmpl w:val="C624F296"/>
    <w:lvl w:ilvl="0" w:tplc="982E8996">
      <w:start w:val="6"/>
      <w:numFmt w:val="bullet"/>
      <w:lvlText w:val="-"/>
      <w:lvlJc w:val="left"/>
      <w:pPr>
        <w:ind w:left="720" w:hanging="360"/>
      </w:pPr>
      <w:rPr>
        <w:rFonts w:ascii="Calibri" w:eastAsia="Times New Roman"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0" w15:restartNumberingAfterBreak="0">
    <w:nsid w:val="651F31FC"/>
    <w:multiLevelType w:val="hybridMultilevel"/>
    <w:tmpl w:val="A404CFB8"/>
    <w:lvl w:ilvl="0" w:tplc="6B7AB960">
      <w:start w:val="1"/>
      <w:numFmt w:val="decimal"/>
      <w:lvlText w:val="%1)"/>
      <w:lvlJc w:val="left"/>
      <w:pPr>
        <w:ind w:left="1080" w:hanging="360"/>
      </w:pPr>
      <w:rPr>
        <w:b w:val="0"/>
        <w:color w:val="auto"/>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71" w15:restartNumberingAfterBreak="0">
    <w:nsid w:val="654B454F"/>
    <w:multiLevelType w:val="hybridMultilevel"/>
    <w:tmpl w:val="6CBE172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2" w15:restartNumberingAfterBreak="0">
    <w:nsid w:val="66A87B02"/>
    <w:multiLevelType w:val="hybridMultilevel"/>
    <w:tmpl w:val="7B10B0FC"/>
    <w:lvl w:ilvl="0" w:tplc="C498A544">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3" w15:restartNumberingAfterBreak="0">
    <w:nsid w:val="68386923"/>
    <w:multiLevelType w:val="hybridMultilevel"/>
    <w:tmpl w:val="85B4A8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4" w15:restartNumberingAfterBreak="0">
    <w:nsid w:val="69FB1A3C"/>
    <w:multiLevelType w:val="hybridMultilevel"/>
    <w:tmpl w:val="326EF4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5" w15:restartNumberingAfterBreak="0">
    <w:nsid w:val="6C1001DB"/>
    <w:multiLevelType w:val="hybridMultilevel"/>
    <w:tmpl w:val="19982F5A"/>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6" w15:restartNumberingAfterBreak="0">
    <w:nsid w:val="6DC2777F"/>
    <w:multiLevelType w:val="hybridMultilevel"/>
    <w:tmpl w:val="08CA689C"/>
    <w:lvl w:ilvl="0" w:tplc="982E8996">
      <w:start w:val="6"/>
      <w:numFmt w:val="bullet"/>
      <w:lvlText w:val="-"/>
      <w:lvlJc w:val="left"/>
      <w:pPr>
        <w:ind w:left="720" w:hanging="360"/>
      </w:pPr>
      <w:rPr>
        <w:rFonts w:ascii="Calibri" w:eastAsia="Times New Roman"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7" w15:restartNumberingAfterBreak="0">
    <w:nsid w:val="6F6D7621"/>
    <w:multiLevelType w:val="hybridMultilevel"/>
    <w:tmpl w:val="5A26E508"/>
    <w:lvl w:ilvl="0" w:tplc="982E8996">
      <w:start w:val="6"/>
      <w:numFmt w:val="bullet"/>
      <w:lvlText w:val="-"/>
      <w:lvlJc w:val="left"/>
      <w:pPr>
        <w:ind w:left="720" w:hanging="360"/>
      </w:pPr>
      <w:rPr>
        <w:rFonts w:ascii="Calibri" w:eastAsia="Times New Roman"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8" w15:restartNumberingAfterBreak="0">
    <w:nsid w:val="70182666"/>
    <w:multiLevelType w:val="hybridMultilevel"/>
    <w:tmpl w:val="0AF0E2D6"/>
    <w:lvl w:ilvl="0" w:tplc="A7A4EF9A">
      <w:start w:val="1"/>
      <w:numFmt w:val="decimal"/>
      <w:lvlText w:val="%1)"/>
      <w:lvlJc w:val="left"/>
      <w:pPr>
        <w:ind w:left="720" w:hanging="360"/>
      </w:pPr>
      <w:rPr>
        <w:rFonts w:hint="default"/>
        <w:b w:val="0"/>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9" w15:restartNumberingAfterBreak="0">
    <w:nsid w:val="7045462E"/>
    <w:multiLevelType w:val="hybridMultilevel"/>
    <w:tmpl w:val="34ECCB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0" w15:restartNumberingAfterBreak="0">
    <w:nsid w:val="70541C3A"/>
    <w:multiLevelType w:val="hybridMultilevel"/>
    <w:tmpl w:val="3ED84066"/>
    <w:lvl w:ilvl="0" w:tplc="982E8996">
      <w:start w:val="6"/>
      <w:numFmt w:val="bullet"/>
      <w:lvlText w:val="-"/>
      <w:lvlJc w:val="left"/>
      <w:pPr>
        <w:ind w:left="720" w:hanging="360"/>
      </w:pPr>
      <w:rPr>
        <w:rFonts w:ascii="Calibri" w:eastAsia="Times New Roman"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1" w15:restartNumberingAfterBreak="0">
    <w:nsid w:val="73CA5EC8"/>
    <w:multiLevelType w:val="hybridMultilevel"/>
    <w:tmpl w:val="D800EF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2" w15:restartNumberingAfterBreak="0">
    <w:nsid w:val="74A70E9F"/>
    <w:multiLevelType w:val="hybridMultilevel"/>
    <w:tmpl w:val="18A24A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3" w15:restartNumberingAfterBreak="0">
    <w:nsid w:val="75E11364"/>
    <w:multiLevelType w:val="hybridMultilevel"/>
    <w:tmpl w:val="4A5C181E"/>
    <w:lvl w:ilvl="0" w:tplc="982E8996">
      <w:start w:val="6"/>
      <w:numFmt w:val="bullet"/>
      <w:lvlText w:val="-"/>
      <w:lvlJc w:val="left"/>
      <w:pPr>
        <w:ind w:left="720" w:hanging="360"/>
      </w:pPr>
      <w:rPr>
        <w:rFonts w:ascii="Calibri" w:eastAsia="Times New Roman"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4" w15:restartNumberingAfterBreak="0">
    <w:nsid w:val="79226274"/>
    <w:multiLevelType w:val="hybridMultilevel"/>
    <w:tmpl w:val="913417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5" w15:restartNumberingAfterBreak="0">
    <w:nsid w:val="795C2215"/>
    <w:multiLevelType w:val="hybridMultilevel"/>
    <w:tmpl w:val="88280B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6" w15:restartNumberingAfterBreak="0">
    <w:nsid w:val="7BD918BC"/>
    <w:multiLevelType w:val="hybridMultilevel"/>
    <w:tmpl w:val="563E021A"/>
    <w:lvl w:ilvl="0" w:tplc="EB20E396">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7" w15:restartNumberingAfterBreak="0">
    <w:nsid w:val="7D51584D"/>
    <w:multiLevelType w:val="hybridMultilevel"/>
    <w:tmpl w:val="6E787882"/>
    <w:lvl w:ilvl="0" w:tplc="8E585B2C">
      <w:start w:val="4"/>
      <w:numFmt w:val="decimal"/>
      <w:lvlText w:val="%1)"/>
      <w:lvlJc w:val="left"/>
      <w:pPr>
        <w:ind w:left="720" w:hanging="360"/>
      </w:pPr>
      <w:rPr>
        <w:rFonts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8" w15:restartNumberingAfterBreak="0">
    <w:nsid w:val="7FCA30B9"/>
    <w:multiLevelType w:val="hybridMultilevel"/>
    <w:tmpl w:val="DD3E21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4"/>
  </w:num>
  <w:num w:numId="2">
    <w:abstractNumId w:val="36"/>
  </w:num>
  <w:num w:numId="3">
    <w:abstractNumId w:val="3"/>
  </w:num>
  <w:num w:numId="4">
    <w:abstractNumId w:val="2"/>
  </w:num>
  <w:num w:numId="5">
    <w:abstractNumId w:val="1"/>
  </w:num>
  <w:num w:numId="6">
    <w:abstractNumId w:val="0"/>
  </w:num>
  <w:num w:numId="7">
    <w:abstractNumId w:val="16"/>
  </w:num>
  <w:num w:numId="8">
    <w:abstractNumId w:val="17"/>
  </w:num>
  <w:num w:numId="9">
    <w:abstractNumId w:val="63"/>
  </w:num>
  <w:num w:numId="10">
    <w:abstractNumId w:val="51"/>
  </w:num>
  <w:num w:numId="11">
    <w:abstractNumId w:val="54"/>
  </w:num>
  <w:num w:numId="12">
    <w:abstractNumId w:val="47"/>
  </w:num>
  <w:num w:numId="13">
    <w:abstractNumId w:val="56"/>
  </w:num>
  <w:num w:numId="14">
    <w:abstractNumId w:val="85"/>
  </w:num>
  <w:num w:numId="15">
    <w:abstractNumId w:val="84"/>
  </w:num>
  <w:num w:numId="16">
    <w:abstractNumId w:val="48"/>
  </w:num>
  <w:num w:numId="17">
    <w:abstractNumId w:val="24"/>
  </w:num>
  <w:num w:numId="18">
    <w:abstractNumId w:val="22"/>
  </w:num>
  <w:num w:numId="19">
    <w:abstractNumId w:val="39"/>
  </w:num>
  <w:num w:numId="20">
    <w:abstractNumId w:val="42"/>
  </w:num>
  <w:num w:numId="21">
    <w:abstractNumId w:val="65"/>
  </w:num>
  <w:num w:numId="22">
    <w:abstractNumId w:val="45"/>
  </w:num>
  <w:num w:numId="23">
    <w:abstractNumId w:val="11"/>
  </w:num>
  <w:num w:numId="24">
    <w:abstractNumId w:val="23"/>
  </w:num>
  <w:num w:numId="25">
    <w:abstractNumId w:val="68"/>
  </w:num>
  <w:num w:numId="26">
    <w:abstractNumId w:val="57"/>
  </w:num>
  <w:num w:numId="27">
    <w:abstractNumId w:val="29"/>
  </w:num>
  <w:num w:numId="28">
    <w:abstractNumId w:val="10"/>
  </w:num>
  <w:num w:numId="29">
    <w:abstractNumId w:val="76"/>
  </w:num>
  <w:num w:numId="30">
    <w:abstractNumId w:val="4"/>
  </w:num>
  <w:num w:numId="31">
    <w:abstractNumId w:val="80"/>
  </w:num>
  <w:num w:numId="32">
    <w:abstractNumId w:val="77"/>
  </w:num>
  <w:num w:numId="33">
    <w:abstractNumId w:val="26"/>
  </w:num>
  <w:num w:numId="34">
    <w:abstractNumId w:val="27"/>
  </w:num>
  <w:num w:numId="35">
    <w:abstractNumId w:val="13"/>
  </w:num>
  <w:num w:numId="36">
    <w:abstractNumId w:val="28"/>
  </w:num>
  <w:num w:numId="37">
    <w:abstractNumId w:val="46"/>
  </w:num>
  <w:num w:numId="38">
    <w:abstractNumId w:val="21"/>
  </w:num>
  <w:num w:numId="39">
    <w:abstractNumId w:val="9"/>
  </w:num>
  <w:num w:numId="40">
    <w:abstractNumId w:val="67"/>
  </w:num>
  <w:num w:numId="41">
    <w:abstractNumId w:val="41"/>
  </w:num>
  <w:num w:numId="42">
    <w:abstractNumId w:val="49"/>
  </w:num>
  <w:num w:numId="43">
    <w:abstractNumId w:val="69"/>
  </w:num>
  <w:num w:numId="44">
    <w:abstractNumId w:val="83"/>
  </w:num>
  <w:num w:numId="45">
    <w:abstractNumId w:val="25"/>
  </w:num>
  <w:num w:numId="46">
    <w:abstractNumId w:val="86"/>
  </w:num>
  <w:num w:numId="47">
    <w:abstractNumId w:val="75"/>
  </w:num>
  <w:num w:numId="48">
    <w:abstractNumId w:val="55"/>
  </w:num>
  <w:num w:numId="49">
    <w:abstractNumId w:val="5"/>
  </w:num>
  <w:num w:numId="50">
    <w:abstractNumId w:val="81"/>
  </w:num>
  <w:num w:numId="51">
    <w:abstractNumId w:val="33"/>
  </w:num>
  <w:num w:numId="52">
    <w:abstractNumId w:val="18"/>
  </w:num>
  <w:num w:numId="53">
    <w:abstractNumId w:val="35"/>
  </w:num>
  <w:num w:numId="54">
    <w:abstractNumId w:val="31"/>
  </w:num>
  <w:num w:numId="55">
    <w:abstractNumId w:val="7"/>
  </w:num>
  <w:num w:numId="56">
    <w:abstractNumId w:val="82"/>
  </w:num>
  <w:num w:numId="57">
    <w:abstractNumId w:val="88"/>
  </w:num>
  <w:num w:numId="58">
    <w:abstractNumId w:val="53"/>
  </w:num>
  <w:num w:numId="59">
    <w:abstractNumId w:val="32"/>
  </w:num>
  <w:num w:numId="60">
    <w:abstractNumId w:val="44"/>
  </w:num>
  <w:num w:numId="61">
    <w:abstractNumId w:val="64"/>
  </w:num>
  <w:num w:numId="62">
    <w:abstractNumId w:val="73"/>
  </w:num>
  <w:num w:numId="63">
    <w:abstractNumId w:val="72"/>
  </w:num>
  <w:num w:numId="64">
    <w:abstractNumId w:val="60"/>
  </w:num>
  <w:num w:numId="65">
    <w:abstractNumId w:val="87"/>
  </w:num>
  <w:num w:numId="66">
    <w:abstractNumId w:val="71"/>
  </w:num>
  <w:num w:numId="67">
    <w:abstractNumId w:val="78"/>
  </w:num>
  <w:num w:numId="68">
    <w:abstractNumId w:val="74"/>
  </w:num>
  <w:num w:numId="69">
    <w:abstractNumId w:val="61"/>
  </w:num>
  <w:num w:numId="70">
    <w:abstractNumId w:val="20"/>
  </w:num>
  <w:num w:numId="71">
    <w:abstractNumId w:val="43"/>
  </w:num>
  <w:num w:numId="72">
    <w:abstractNumId w:val="79"/>
  </w:num>
  <w:num w:numId="73">
    <w:abstractNumId w:val="30"/>
  </w:num>
  <w:num w:numId="74">
    <w:abstractNumId w:val="40"/>
  </w:num>
  <w:num w:numId="75">
    <w:abstractNumId w:val="59"/>
  </w:num>
  <w:num w:numId="76">
    <w:abstractNumId w:val="12"/>
  </w:num>
  <w:num w:numId="77">
    <w:abstractNumId w:val="58"/>
  </w:num>
  <w:num w:numId="78">
    <w:abstractNumId w:val="6"/>
  </w:num>
  <w:num w:numId="79">
    <w:abstractNumId w:val="66"/>
  </w:num>
  <w:num w:numId="80">
    <w:abstractNumId w:val="37"/>
  </w:num>
  <w:num w:numId="81">
    <w:abstractNumId w:val="38"/>
  </w:num>
  <w:num w:numId="82">
    <w:abstractNumId w:val="15"/>
  </w:num>
  <w:num w:numId="83">
    <w:abstractNumId w:val="70"/>
  </w:num>
  <w:num w:numId="84">
    <w:abstractNumId w:val="8"/>
  </w:num>
  <w:num w:numId="85">
    <w:abstractNumId w:val="14"/>
  </w:num>
  <w:num w:numId="86">
    <w:abstractNumId w:val="50"/>
  </w:num>
  <w:num w:numId="87">
    <w:abstractNumId w:val="52"/>
  </w:num>
  <w:num w:numId="88">
    <w:abstractNumId w:val="62"/>
  </w:num>
  <w:num w:numId="89">
    <w:abstractNumId w:val="19"/>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attachedTemplate r:id="rId1"/>
  <w:defaultTabStop w:val="720"/>
  <w:hyphenationZone w:val="425"/>
  <w:evenAndOddHeaders/>
  <w:drawingGridHorizontalSpacing w:val="115"/>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EEE"/>
    <w:rsid w:val="00000515"/>
    <w:rsid w:val="00001ABE"/>
    <w:rsid w:val="000022E8"/>
    <w:rsid w:val="000035E8"/>
    <w:rsid w:val="00003E0C"/>
    <w:rsid w:val="00003E95"/>
    <w:rsid w:val="00003F30"/>
    <w:rsid w:val="00004FBC"/>
    <w:rsid w:val="0000574A"/>
    <w:rsid w:val="00005AC1"/>
    <w:rsid w:val="0000656D"/>
    <w:rsid w:val="00006A38"/>
    <w:rsid w:val="00007BAA"/>
    <w:rsid w:val="00007F07"/>
    <w:rsid w:val="00010222"/>
    <w:rsid w:val="000106C6"/>
    <w:rsid w:val="00011400"/>
    <w:rsid w:val="0001181F"/>
    <w:rsid w:val="00011B87"/>
    <w:rsid w:val="00012D75"/>
    <w:rsid w:val="00014824"/>
    <w:rsid w:val="00014B3C"/>
    <w:rsid w:val="00014FBA"/>
    <w:rsid w:val="0001583C"/>
    <w:rsid w:val="000200AF"/>
    <w:rsid w:val="00020143"/>
    <w:rsid w:val="00020235"/>
    <w:rsid w:val="0002044E"/>
    <w:rsid w:val="00020C06"/>
    <w:rsid w:val="0002238F"/>
    <w:rsid w:val="00023AAC"/>
    <w:rsid w:val="000240ED"/>
    <w:rsid w:val="00024189"/>
    <w:rsid w:val="0002424F"/>
    <w:rsid w:val="000243AE"/>
    <w:rsid w:val="00024540"/>
    <w:rsid w:val="00024BF1"/>
    <w:rsid w:val="00024C05"/>
    <w:rsid w:val="00024E1F"/>
    <w:rsid w:val="0002566D"/>
    <w:rsid w:val="00025A2E"/>
    <w:rsid w:val="0002625D"/>
    <w:rsid w:val="00026385"/>
    <w:rsid w:val="00026936"/>
    <w:rsid w:val="00026FD0"/>
    <w:rsid w:val="00027560"/>
    <w:rsid w:val="00027933"/>
    <w:rsid w:val="00030619"/>
    <w:rsid w:val="00031836"/>
    <w:rsid w:val="000333C6"/>
    <w:rsid w:val="000342A0"/>
    <w:rsid w:val="000348A3"/>
    <w:rsid w:val="00034D13"/>
    <w:rsid w:val="00035008"/>
    <w:rsid w:val="00035054"/>
    <w:rsid w:val="00036058"/>
    <w:rsid w:val="00036153"/>
    <w:rsid w:val="00036B07"/>
    <w:rsid w:val="00037E6A"/>
    <w:rsid w:val="000424B1"/>
    <w:rsid w:val="00042549"/>
    <w:rsid w:val="00043BB9"/>
    <w:rsid w:val="00043BC3"/>
    <w:rsid w:val="00044E24"/>
    <w:rsid w:val="0004517B"/>
    <w:rsid w:val="00045510"/>
    <w:rsid w:val="000456CC"/>
    <w:rsid w:val="00045978"/>
    <w:rsid w:val="00045998"/>
    <w:rsid w:val="00045C1E"/>
    <w:rsid w:val="000465C7"/>
    <w:rsid w:val="00046DD6"/>
    <w:rsid w:val="0004710B"/>
    <w:rsid w:val="00047D29"/>
    <w:rsid w:val="00047DB2"/>
    <w:rsid w:val="00047DD0"/>
    <w:rsid w:val="00050169"/>
    <w:rsid w:val="00050E3A"/>
    <w:rsid w:val="0005123B"/>
    <w:rsid w:val="00051B21"/>
    <w:rsid w:val="00051E8E"/>
    <w:rsid w:val="00052695"/>
    <w:rsid w:val="000529C5"/>
    <w:rsid w:val="00052DB3"/>
    <w:rsid w:val="00052FD3"/>
    <w:rsid w:val="0005301A"/>
    <w:rsid w:val="000532C9"/>
    <w:rsid w:val="00053447"/>
    <w:rsid w:val="00053CE9"/>
    <w:rsid w:val="00053D9F"/>
    <w:rsid w:val="00053EA6"/>
    <w:rsid w:val="00054771"/>
    <w:rsid w:val="00054E33"/>
    <w:rsid w:val="00055EF2"/>
    <w:rsid w:val="00055F06"/>
    <w:rsid w:val="00056035"/>
    <w:rsid w:val="0005671C"/>
    <w:rsid w:val="00056D1B"/>
    <w:rsid w:val="000613A6"/>
    <w:rsid w:val="00061903"/>
    <w:rsid w:val="00061E28"/>
    <w:rsid w:val="00062034"/>
    <w:rsid w:val="0006223B"/>
    <w:rsid w:val="00062309"/>
    <w:rsid w:val="00062455"/>
    <w:rsid w:val="00063784"/>
    <w:rsid w:val="00063E03"/>
    <w:rsid w:val="00063FA4"/>
    <w:rsid w:val="000653C0"/>
    <w:rsid w:val="000656E1"/>
    <w:rsid w:val="00065B7B"/>
    <w:rsid w:val="00065C52"/>
    <w:rsid w:val="000669A6"/>
    <w:rsid w:val="00066BEE"/>
    <w:rsid w:val="00066DC8"/>
    <w:rsid w:val="00067C91"/>
    <w:rsid w:val="00067CAA"/>
    <w:rsid w:val="00067D40"/>
    <w:rsid w:val="00067F7F"/>
    <w:rsid w:val="0007013E"/>
    <w:rsid w:val="00070229"/>
    <w:rsid w:val="00070581"/>
    <w:rsid w:val="00070667"/>
    <w:rsid w:val="00070A5C"/>
    <w:rsid w:val="00071472"/>
    <w:rsid w:val="000718AE"/>
    <w:rsid w:val="00071AF5"/>
    <w:rsid w:val="00072CB6"/>
    <w:rsid w:val="00075738"/>
    <w:rsid w:val="00076494"/>
    <w:rsid w:val="000764F4"/>
    <w:rsid w:val="000770C3"/>
    <w:rsid w:val="00077F25"/>
    <w:rsid w:val="000801B3"/>
    <w:rsid w:val="00080BAE"/>
    <w:rsid w:val="00080C92"/>
    <w:rsid w:val="00082314"/>
    <w:rsid w:val="00082540"/>
    <w:rsid w:val="00082B42"/>
    <w:rsid w:val="000832AF"/>
    <w:rsid w:val="000839A2"/>
    <w:rsid w:val="00085705"/>
    <w:rsid w:val="000865F7"/>
    <w:rsid w:val="000874C8"/>
    <w:rsid w:val="000874D1"/>
    <w:rsid w:val="00087C84"/>
    <w:rsid w:val="000901EE"/>
    <w:rsid w:val="00090780"/>
    <w:rsid w:val="00091B1A"/>
    <w:rsid w:val="00092255"/>
    <w:rsid w:val="000931CB"/>
    <w:rsid w:val="00093360"/>
    <w:rsid w:val="00094B84"/>
    <w:rsid w:val="00094C6B"/>
    <w:rsid w:val="00094E98"/>
    <w:rsid w:val="00096396"/>
    <w:rsid w:val="00097CC9"/>
    <w:rsid w:val="000A007F"/>
    <w:rsid w:val="000A1195"/>
    <w:rsid w:val="000A1268"/>
    <w:rsid w:val="000A157E"/>
    <w:rsid w:val="000A180D"/>
    <w:rsid w:val="000A1B1E"/>
    <w:rsid w:val="000A2222"/>
    <w:rsid w:val="000A29B0"/>
    <w:rsid w:val="000A2F14"/>
    <w:rsid w:val="000A31FA"/>
    <w:rsid w:val="000A32B3"/>
    <w:rsid w:val="000A39D5"/>
    <w:rsid w:val="000A4072"/>
    <w:rsid w:val="000A42CC"/>
    <w:rsid w:val="000A5020"/>
    <w:rsid w:val="000A5494"/>
    <w:rsid w:val="000A560D"/>
    <w:rsid w:val="000A5A8D"/>
    <w:rsid w:val="000A6951"/>
    <w:rsid w:val="000A72B2"/>
    <w:rsid w:val="000A7755"/>
    <w:rsid w:val="000A7899"/>
    <w:rsid w:val="000B0D03"/>
    <w:rsid w:val="000B63F5"/>
    <w:rsid w:val="000B6404"/>
    <w:rsid w:val="000B696E"/>
    <w:rsid w:val="000B7676"/>
    <w:rsid w:val="000B7693"/>
    <w:rsid w:val="000B77FB"/>
    <w:rsid w:val="000B7CC5"/>
    <w:rsid w:val="000B7CF7"/>
    <w:rsid w:val="000C045D"/>
    <w:rsid w:val="000C04C0"/>
    <w:rsid w:val="000C0AE5"/>
    <w:rsid w:val="000C22D7"/>
    <w:rsid w:val="000C244C"/>
    <w:rsid w:val="000C336B"/>
    <w:rsid w:val="000C3606"/>
    <w:rsid w:val="000C6081"/>
    <w:rsid w:val="000C654A"/>
    <w:rsid w:val="000C6639"/>
    <w:rsid w:val="000C678D"/>
    <w:rsid w:val="000C6BC8"/>
    <w:rsid w:val="000C6F34"/>
    <w:rsid w:val="000C7462"/>
    <w:rsid w:val="000C7E62"/>
    <w:rsid w:val="000D0B48"/>
    <w:rsid w:val="000D1990"/>
    <w:rsid w:val="000D1F37"/>
    <w:rsid w:val="000D2148"/>
    <w:rsid w:val="000D237C"/>
    <w:rsid w:val="000D3953"/>
    <w:rsid w:val="000D3BC9"/>
    <w:rsid w:val="000D3FD1"/>
    <w:rsid w:val="000D405B"/>
    <w:rsid w:val="000D47D3"/>
    <w:rsid w:val="000D4EC5"/>
    <w:rsid w:val="000D5B1D"/>
    <w:rsid w:val="000D5B7C"/>
    <w:rsid w:val="000D5FCA"/>
    <w:rsid w:val="000D6961"/>
    <w:rsid w:val="000D6CD0"/>
    <w:rsid w:val="000D7107"/>
    <w:rsid w:val="000E2556"/>
    <w:rsid w:val="000E2B9B"/>
    <w:rsid w:val="000E2FB2"/>
    <w:rsid w:val="000E3034"/>
    <w:rsid w:val="000E3390"/>
    <w:rsid w:val="000E4288"/>
    <w:rsid w:val="000E4A94"/>
    <w:rsid w:val="000E53C0"/>
    <w:rsid w:val="000E596C"/>
    <w:rsid w:val="000E59F9"/>
    <w:rsid w:val="000E5D81"/>
    <w:rsid w:val="000E692B"/>
    <w:rsid w:val="000E6CB9"/>
    <w:rsid w:val="000E7B29"/>
    <w:rsid w:val="000F1840"/>
    <w:rsid w:val="000F1AB2"/>
    <w:rsid w:val="000F23D5"/>
    <w:rsid w:val="000F34EB"/>
    <w:rsid w:val="000F414C"/>
    <w:rsid w:val="000F4498"/>
    <w:rsid w:val="000F44CD"/>
    <w:rsid w:val="000F45FB"/>
    <w:rsid w:val="000F4E14"/>
    <w:rsid w:val="000F5311"/>
    <w:rsid w:val="000F5A0D"/>
    <w:rsid w:val="000F5EC3"/>
    <w:rsid w:val="000F6648"/>
    <w:rsid w:val="000F7D14"/>
    <w:rsid w:val="000F7D60"/>
    <w:rsid w:val="0010077C"/>
    <w:rsid w:val="00103B05"/>
    <w:rsid w:val="00103DD0"/>
    <w:rsid w:val="00103F07"/>
    <w:rsid w:val="00104A06"/>
    <w:rsid w:val="00104D0B"/>
    <w:rsid w:val="00105214"/>
    <w:rsid w:val="00105541"/>
    <w:rsid w:val="00106D44"/>
    <w:rsid w:val="00107B24"/>
    <w:rsid w:val="00107DC6"/>
    <w:rsid w:val="0011079B"/>
    <w:rsid w:val="001115BC"/>
    <w:rsid w:val="00111D9F"/>
    <w:rsid w:val="001121B5"/>
    <w:rsid w:val="0011293D"/>
    <w:rsid w:val="0011360A"/>
    <w:rsid w:val="00114102"/>
    <w:rsid w:val="001149ED"/>
    <w:rsid w:val="00114D9E"/>
    <w:rsid w:val="00115ED3"/>
    <w:rsid w:val="001162E0"/>
    <w:rsid w:val="0011680C"/>
    <w:rsid w:val="0011690F"/>
    <w:rsid w:val="00116F22"/>
    <w:rsid w:val="00117C7E"/>
    <w:rsid w:val="00123333"/>
    <w:rsid w:val="00123B1C"/>
    <w:rsid w:val="00124214"/>
    <w:rsid w:val="001243B4"/>
    <w:rsid w:val="00127C74"/>
    <w:rsid w:val="00130F02"/>
    <w:rsid w:val="00131F92"/>
    <w:rsid w:val="00131FBE"/>
    <w:rsid w:val="001328F0"/>
    <w:rsid w:val="0013368C"/>
    <w:rsid w:val="0013394E"/>
    <w:rsid w:val="00133A1A"/>
    <w:rsid w:val="00134688"/>
    <w:rsid w:val="00135328"/>
    <w:rsid w:val="00135CA3"/>
    <w:rsid w:val="00136207"/>
    <w:rsid w:val="001365A3"/>
    <w:rsid w:val="00136A6B"/>
    <w:rsid w:val="00140CBC"/>
    <w:rsid w:val="00140F4C"/>
    <w:rsid w:val="001410BF"/>
    <w:rsid w:val="00141328"/>
    <w:rsid w:val="00141B50"/>
    <w:rsid w:val="0014250B"/>
    <w:rsid w:val="001430DA"/>
    <w:rsid w:val="001432BA"/>
    <w:rsid w:val="00143EFE"/>
    <w:rsid w:val="00143F6C"/>
    <w:rsid w:val="00144B5F"/>
    <w:rsid w:val="00145281"/>
    <w:rsid w:val="0014632B"/>
    <w:rsid w:val="00146C99"/>
    <w:rsid w:val="0014745A"/>
    <w:rsid w:val="001478A1"/>
    <w:rsid w:val="00150513"/>
    <w:rsid w:val="001505A4"/>
    <w:rsid w:val="00151646"/>
    <w:rsid w:val="00153150"/>
    <w:rsid w:val="00153502"/>
    <w:rsid w:val="00153B66"/>
    <w:rsid w:val="00154CBF"/>
    <w:rsid w:val="0015510E"/>
    <w:rsid w:val="001558DA"/>
    <w:rsid w:val="0015615E"/>
    <w:rsid w:val="0015655C"/>
    <w:rsid w:val="001578C0"/>
    <w:rsid w:val="00157D7A"/>
    <w:rsid w:val="00160A49"/>
    <w:rsid w:val="00161285"/>
    <w:rsid w:val="0016160F"/>
    <w:rsid w:val="00161F9F"/>
    <w:rsid w:val="001620A2"/>
    <w:rsid w:val="00162D68"/>
    <w:rsid w:val="001641BB"/>
    <w:rsid w:val="001642FC"/>
    <w:rsid w:val="001648D1"/>
    <w:rsid w:val="0016692D"/>
    <w:rsid w:val="00170543"/>
    <w:rsid w:val="00171CD7"/>
    <w:rsid w:val="00171D4F"/>
    <w:rsid w:val="00171E5B"/>
    <w:rsid w:val="00172B00"/>
    <w:rsid w:val="0017397A"/>
    <w:rsid w:val="00173BD2"/>
    <w:rsid w:val="00173FFF"/>
    <w:rsid w:val="00174582"/>
    <w:rsid w:val="00174618"/>
    <w:rsid w:val="0017540F"/>
    <w:rsid w:val="0017543A"/>
    <w:rsid w:val="001754A2"/>
    <w:rsid w:val="00175845"/>
    <w:rsid w:val="00175A4F"/>
    <w:rsid w:val="00175A5F"/>
    <w:rsid w:val="00175E60"/>
    <w:rsid w:val="00176348"/>
    <w:rsid w:val="001772A1"/>
    <w:rsid w:val="001777D2"/>
    <w:rsid w:val="001806FE"/>
    <w:rsid w:val="00180CE7"/>
    <w:rsid w:val="001813CB"/>
    <w:rsid w:val="00181578"/>
    <w:rsid w:val="00182195"/>
    <w:rsid w:val="0018231B"/>
    <w:rsid w:val="00182813"/>
    <w:rsid w:val="00182989"/>
    <w:rsid w:val="00183872"/>
    <w:rsid w:val="00183DB2"/>
    <w:rsid w:val="0018473C"/>
    <w:rsid w:val="00184AC8"/>
    <w:rsid w:val="001853CA"/>
    <w:rsid w:val="00185D98"/>
    <w:rsid w:val="001862AB"/>
    <w:rsid w:val="00190AFA"/>
    <w:rsid w:val="00190CBB"/>
    <w:rsid w:val="00190F7A"/>
    <w:rsid w:val="00191613"/>
    <w:rsid w:val="00191F4B"/>
    <w:rsid w:val="001925DA"/>
    <w:rsid w:val="001929E9"/>
    <w:rsid w:val="00193304"/>
    <w:rsid w:val="00193690"/>
    <w:rsid w:val="00193863"/>
    <w:rsid w:val="00194F69"/>
    <w:rsid w:val="00196641"/>
    <w:rsid w:val="00196BA1"/>
    <w:rsid w:val="00197DB8"/>
    <w:rsid w:val="00197ED3"/>
    <w:rsid w:val="00197F44"/>
    <w:rsid w:val="001A0893"/>
    <w:rsid w:val="001A104F"/>
    <w:rsid w:val="001A13CF"/>
    <w:rsid w:val="001A1AE0"/>
    <w:rsid w:val="001A1D21"/>
    <w:rsid w:val="001A1FD0"/>
    <w:rsid w:val="001A29C4"/>
    <w:rsid w:val="001A30DF"/>
    <w:rsid w:val="001A34D2"/>
    <w:rsid w:val="001A3F0C"/>
    <w:rsid w:val="001A5DA9"/>
    <w:rsid w:val="001A6BD4"/>
    <w:rsid w:val="001A75DB"/>
    <w:rsid w:val="001B017A"/>
    <w:rsid w:val="001B1DEF"/>
    <w:rsid w:val="001B2C77"/>
    <w:rsid w:val="001B30A0"/>
    <w:rsid w:val="001B3835"/>
    <w:rsid w:val="001B3982"/>
    <w:rsid w:val="001B3EFA"/>
    <w:rsid w:val="001B4743"/>
    <w:rsid w:val="001B4CFB"/>
    <w:rsid w:val="001B550E"/>
    <w:rsid w:val="001B575D"/>
    <w:rsid w:val="001B626F"/>
    <w:rsid w:val="001B630F"/>
    <w:rsid w:val="001B6551"/>
    <w:rsid w:val="001B656D"/>
    <w:rsid w:val="001B72E5"/>
    <w:rsid w:val="001B746D"/>
    <w:rsid w:val="001C11FD"/>
    <w:rsid w:val="001C1628"/>
    <w:rsid w:val="001C182E"/>
    <w:rsid w:val="001C2CAA"/>
    <w:rsid w:val="001C363E"/>
    <w:rsid w:val="001C36D6"/>
    <w:rsid w:val="001C3AD9"/>
    <w:rsid w:val="001C4493"/>
    <w:rsid w:val="001C47C4"/>
    <w:rsid w:val="001C4D27"/>
    <w:rsid w:val="001C55A0"/>
    <w:rsid w:val="001C5A39"/>
    <w:rsid w:val="001C6450"/>
    <w:rsid w:val="001C6507"/>
    <w:rsid w:val="001C7665"/>
    <w:rsid w:val="001C7B1F"/>
    <w:rsid w:val="001C7D88"/>
    <w:rsid w:val="001D2754"/>
    <w:rsid w:val="001D4314"/>
    <w:rsid w:val="001D4414"/>
    <w:rsid w:val="001D4D77"/>
    <w:rsid w:val="001D6F1C"/>
    <w:rsid w:val="001D6F5A"/>
    <w:rsid w:val="001D7C47"/>
    <w:rsid w:val="001E00C6"/>
    <w:rsid w:val="001E0E60"/>
    <w:rsid w:val="001E1778"/>
    <w:rsid w:val="001E2A55"/>
    <w:rsid w:val="001E4394"/>
    <w:rsid w:val="001E4CC1"/>
    <w:rsid w:val="001E5609"/>
    <w:rsid w:val="001E58B3"/>
    <w:rsid w:val="001E58FB"/>
    <w:rsid w:val="001E5A65"/>
    <w:rsid w:val="001E64AA"/>
    <w:rsid w:val="001F020C"/>
    <w:rsid w:val="001F1033"/>
    <w:rsid w:val="001F1EE5"/>
    <w:rsid w:val="001F2662"/>
    <w:rsid w:val="001F28F3"/>
    <w:rsid w:val="001F2CEA"/>
    <w:rsid w:val="001F3D8C"/>
    <w:rsid w:val="001F4456"/>
    <w:rsid w:val="001F45F7"/>
    <w:rsid w:val="001F46F9"/>
    <w:rsid w:val="001F48FC"/>
    <w:rsid w:val="001F53A0"/>
    <w:rsid w:val="001F5F4D"/>
    <w:rsid w:val="001F6067"/>
    <w:rsid w:val="001F6F33"/>
    <w:rsid w:val="001F6FA5"/>
    <w:rsid w:val="001F72EA"/>
    <w:rsid w:val="001F73BC"/>
    <w:rsid w:val="001F7D18"/>
    <w:rsid w:val="00200984"/>
    <w:rsid w:val="0020106D"/>
    <w:rsid w:val="002013AA"/>
    <w:rsid w:val="00202A49"/>
    <w:rsid w:val="00203D37"/>
    <w:rsid w:val="00204A82"/>
    <w:rsid w:val="00204AB6"/>
    <w:rsid w:val="00205205"/>
    <w:rsid w:val="0020535F"/>
    <w:rsid w:val="002058E1"/>
    <w:rsid w:val="00206AF0"/>
    <w:rsid w:val="00206BA3"/>
    <w:rsid w:val="00206C22"/>
    <w:rsid w:val="00207292"/>
    <w:rsid w:val="002076C1"/>
    <w:rsid w:val="002101C9"/>
    <w:rsid w:val="002107AE"/>
    <w:rsid w:val="00210C79"/>
    <w:rsid w:val="00210D7B"/>
    <w:rsid w:val="00210E40"/>
    <w:rsid w:val="00211315"/>
    <w:rsid w:val="002121B4"/>
    <w:rsid w:val="0021288D"/>
    <w:rsid w:val="0021365C"/>
    <w:rsid w:val="00213845"/>
    <w:rsid w:val="00213B69"/>
    <w:rsid w:val="0021509C"/>
    <w:rsid w:val="00216870"/>
    <w:rsid w:val="00216B17"/>
    <w:rsid w:val="00216F4C"/>
    <w:rsid w:val="002175A7"/>
    <w:rsid w:val="00217A1C"/>
    <w:rsid w:val="00220668"/>
    <w:rsid w:val="00220DDD"/>
    <w:rsid w:val="00220F5F"/>
    <w:rsid w:val="00224210"/>
    <w:rsid w:val="0022428D"/>
    <w:rsid w:val="0022431E"/>
    <w:rsid w:val="00224953"/>
    <w:rsid w:val="0022604F"/>
    <w:rsid w:val="002260FB"/>
    <w:rsid w:val="00226121"/>
    <w:rsid w:val="002269D1"/>
    <w:rsid w:val="00226A11"/>
    <w:rsid w:val="00226AD1"/>
    <w:rsid w:val="00226C1B"/>
    <w:rsid w:val="00227393"/>
    <w:rsid w:val="0023001D"/>
    <w:rsid w:val="00230031"/>
    <w:rsid w:val="0023039B"/>
    <w:rsid w:val="0023045D"/>
    <w:rsid w:val="00230631"/>
    <w:rsid w:val="00230C5A"/>
    <w:rsid w:val="00230EF5"/>
    <w:rsid w:val="00231234"/>
    <w:rsid w:val="00231437"/>
    <w:rsid w:val="00232E2B"/>
    <w:rsid w:val="002336BE"/>
    <w:rsid w:val="002337B7"/>
    <w:rsid w:val="0023414D"/>
    <w:rsid w:val="002341B0"/>
    <w:rsid w:val="0023508D"/>
    <w:rsid w:val="002360C7"/>
    <w:rsid w:val="00236793"/>
    <w:rsid w:val="00236836"/>
    <w:rsid w:val="00236AAB"/>
    <w:rsid w:val="00237172"/>
    <w:rsid w:val="00237BD9"/>
    <w:rsid w:val="002401DF"/>
    <w:rsid w:val="00240582"/>
    <w:rsid w:val="002408DB"/>
    <w:rsid w:val="0024156C"/>
    <w:rsid w:val="00242363"/>
    <w:rsid w:val="00242510"/>
    <w:rsid w:val="002428E8"/>
    <w:rsid w:val="00243381"/>
    <w:rsid w:val="00243B39"/>
    <w:rsid w:val="0024520B"/>
    <w:rsid w:val="00245517"/>
    <w:rsid w:val="00245671"/>
    <w:rsid w:val="002459D8"/>
    <w:rsid w:val="0024659D"/>
    <w:rsid w:val="00246E61"/>
    <w:rsid w:val="00247EEF"/>
    <w:rsid w:val="0025078C"/>
    <w:rsid w:val="00250945"/>
    <w:rsid w:val="00251523"/>
    <w:rsid w:val="002516BB"/>
    <w:rsid w:val="00252C1C"/>
    <w:rsid w:val="00252CEF"/>
    <w:rsid w:val="0025330C"/>
    <w:rsid w:val="002542BF"/>
    <w:rsid w:val="002555D6"/>
    <w:rsid w:val="002558E1"/>
    <w:rsid w:val="002571C9"/>
    <w:rsid w:val="0025733D"/>
    <w:rsid w:val="00257F5A"/>
    <w:rsid w:val="002612A7"/>
    <w:rsid w:val="0026221A"/>
    <w:rsid w:val="00262BBE"/>
    <w:rsid w:val="00262EE3"/>
    <w:rsid w:val="00263AA4"/>
    <w:rsid w:val="00263D96"/>
    <w:rsid w:val="00263EA3"/>
    <w:rsid w:val="00264190"/>
    <w:rsid w:val="00264830"/>
    <w:rsid w:val="00265334"/>
    <w:rsid w:val="00266636"/>
    <w:rsid w:val="0026679D"/>
    <w:rsid w:val="00266AA8"/>
    <w:rsid w:val="002670B4"/>
    <w:rsid w:val="002671C7"/>
    <w:rsid w:val="0026786F"/>
    <w:rsid w:val="002707A8"/>
    <w:rsid w:val="002707FC"/>
    <w:rsid w:val="00270FA8"/>
    <w:rsid w:val="002710C5"/>
    <w:rsid w:val="002712F4"/>
    <w:rsid w:val="002715BF"/>
    <w:rsid w:val="002722A2"/>
    <w:rsid w:val="00275110"/>
    <w:rsid w:val="002756A2"/>
    <w:rsid w:val="002759BC"/>
    <w:rsid w:val="002759C4"/>
    <w:rsid w:val="00275B38"/>
    <w:rsid w:val="00276315"/>
    <w:rsid w:val="00276676"/>
    <w:rsid w:val="002779DF"/>
    <w:rsid w:val="0028053C"/>
    <w:rsid w:val="00281AFC"/>
    <w:rsid w:val="00282616"/>
    <w:rsid w:val="00282A8E"/>
    <w:rsid w:val="00283D8D"/>
    <w:rsid w:val="00283FF3"/>
    <w:rsid w:val="002840A3"/>
    <w:rsid w:val="0028420F"/>
    <w:rsid w:val="00284830"/>
    <w:rsid w:val="00284AA3"/>
    <w:rsid w:val="002851D9"/>
    <w:rsid w:val="002864CB"/>
    <w:rsid w:val="002871B5"/>
    <w:rsid w:val="00287317"/>
    <w:rsid w:val="00287CDB"/>
    <w:rsid w:val="00287DF0"/>
    <w:rsid w:val="002908DF"/>
    <w:rsid w:val="002927A5"/>
    <w:rsid w:val="0029281F"/>
    <w:rsid w:val="00292E44"/>
    <w:rsid w:val="002933A8"/>
    <w:rsid w:val="00293B22"/>
    <w:rsid w:val="002941D6"/>
    <w:rsid w:val="00294DCD"/>
    <w:rsid w:val="00294FB1"/>
    <w:rsid w:val="002950AD"/>
    <w:rsid w:val="0029620A"/>
    <w:rsid w:val="00296907"/>
    <w:rsid w:val="0029692C"/>
    <w:rsid w:val="002971D4"/>
    <w:rsid w:val="002975AF"/>
    <w:rsid w:val="002978FE"/>
    <w:rsid w:val="002A0082"/>
    <w:rsid w:val="002A0C1A"/>
    <w:rsid w:val="002A0F76"/>
    <w:rsid w:val="002A1987"/>
    <w:rsid w:val="002A1D7D"/>
    <w:rsid w:val="002A31AA"/>
    <w:rsid w:val="002A3E53"/>
    <w:rsid w:val="002A45A2"/>
    <w:rsid w:val="002A712C"/>
    <w:rsid w:val="002A7599"/>
    <w:rsid w:val="002A7AB3"/>
    <w:rsid w:val="002A7FBF"/>
    <w:rsid w:val="002B0EE1"/>
    <w:rsid w:val="002B15FF"/>
    <w:rsid w:val="002B1975"/>
    <w:rsid w:val="002B238D"/>
    <w:rsid w:val="002B29EB"/>
    <w:rsid w:val="002B3085"/>
    <w:rsid w:val="002B348A"/>
    <w:rsid w:val="002B4BEC"/>
    <w:rsid w:val="002B4E8F"/>
    <w:rsid w:val="002B52D3"/>
    <w:rsid w:val="002B5BA2"/>
    <w:rsid w:val="002B61F3"/>
    <w:rsid w:val="002B6765"/>
    <w:rsid w:val="002C0593"/>
    <w:rsid w:val="002C18BC"/>
    <w:rsid w:val="002C1920"/>
    <w:rsid w:val="002C2160"/>
    <w:rsid w:val="002C26DB"/>
    <w:rsid w:val="002C2794"/>
    <w:rsid w:val="002C309B"/>
    <w:rsid w:val="002C32BA"/>
    <w:rsid w:val="002D02C0"/>
    <w:rsid w:val="002D0393"/>
    <w:rsid w:val="002D0518"/>
    <w:rsid w:val="002D07D6"/>
    <w:rsid w:val="002D0836"/>
    <w:rsid w:val="002D159C"/>
    <w:rsid w:val="002D1D6E"/>
    <w:rsid w:val="002D20EE"/>
    <w:rsid w:val="002D351B"/>
    <w:rsid w:val="002D36B4"/>
    <w:rsid w:val="002D3D2E"/>
    <w:rsid w:val="002D43F6"/>
    <w:rsid w:val="002D4486"/>
    <w:rsid w:val="002D5123"/>
    <w:rsid w:val="002D55A4"/>
    <w:rsid w:val="002D626D"/>
    <w:rsid w:val="002D6DB2"/>
    <w:rsid w:val="002D77CE"/>
    <w:rsid w:val="002D799B"/>
    <w:rsid w:val="002E11C3"/>
    <w:rsid w:val="002E1503"/>
    <w:rsid w:val="002E1C34"/>
    <w:rsid w:val="002E2DE9"/>
    <w:rsid w:val="002E3122"/>
    <w:rsid w:val="002E43F7"/>
    <w:rsid w:val="002E51BF"/>
    <w:rsid w:val="002E58D0"/>
    <w:rsid w:val="002E68A7"/>
    <w:rsid w:val="002E69A4"/>
    <w:rsid w:val="002E6E37"/>
    <w:rsid w:val="002E7155"/>
    <w:rsid w:val="002E7547"/>
    <w:rsid w:val="002E79B8"/>
    <w:rsid w:val="002F0F60"/>
    <w:rsid w:val="002F1180"/>
    <w:rsid w:val="002F18D8"/>
    <w:rsid w:val="002F1FE4"/>
    <w:rsid w:val="002F2092"/>
    <w:rsid w:val="002F3DB8"/>
    <w:rsid w:val="002F3F5E"/>
    <w:rsid w:val="002F4041"/>
    <w:rsid w:val="002F474B"/>
    <w:rsid w:val="002F64F1"/>
    <w:rsid w:val="002F6C00"/>
    <w:rsid w:val="002F6CB4"/>
    <w:rsid w:val="002F6E51"/>
    <w:rsid w:val="002F7284"/>
    <w:rsid w:val="002F7E9A"/>
    <w:rsid w:val="003009F4"/>
    <w:rsid w:val="00300A91"/>
    <w:rsid w:val="00300B4C"/>
    <w:rsid w:val="00300C6A"/>
    <w:rsid w:val="00300F98"/>
    <w:rsid w:val="00301600"/>
    <w:rsid w:val="00302204"/>
    <w:rsid w:val="00302EAD"/>
    <w:rsid w:val="00303352"/>
    <w:rsid w:val="00304F3F"/>
    <w:rsid w:val="00306A44"/>
    <w:rsid w:val="00306B5B"/>
    <w:rsid w:val="003074A2"/>
    <w:rsid w:val="00307731"/>
    <w:rsid w:val="00307A77"/>
    <w:rsid w:val="00307EAB"/>
    <w:rsid w:val="00311826"/>
    <w:rsid w:val="00311F86"/>
    <w:rsid w:val="00312AE9"/>
    <w:rsid w:val="00312C05"/>
    <w:rsid w:val="00312FF0"/>
    <w:rsid w:val="003131E4"/>
    <w:rsid w:val="0031323F"/>
    <w:rsid w:val="003134FC"/>
    <w:rsid w:val="00313BDB"/>
    <w:rsid w:val="0031627D"/>
    <w:rsid w:val="003163A6"/>
    <w:rsid w:val="00317E7C"/>
    <w:rsid w:val="003204CE"/>
    <w:rsid w:val="0032103C"/>
    <w:rsid w:val="003218A2"/>
    <w:rsid w:val="00321E51"/>
    <w:rsid w:val="00322E4A"/>
    <w:rsid w:val="00324565"/>
    <w:rsid w:val="00324E98"/>
    <w:rsid w:val="00326498"/>
    <w:rsid w:val="00326620"/>
    <w:rsid w:val="003271CA"/>
    <w:rsid w:val="003272F3"/>
    <w:rsid w:val="00327E02"/>
    <w:rsid w:val="003302BE"/>
    <w:rsid w:val="0033111D"/>
    <w:rsid w:val="003325A3"/>
    <w:rsid w:val="00334D21"/>
    <w:rsid w:val="0033605A"/>
    <w:rsid w:val="00336CBC"/>
    <w:rsid w:val="00336DCE"/>
    <w:rsid w:val="003372D8"/>
    <w:rsid w:val="00337395"/>
    <w:rsid w:val="00340B83"/>
    <w:rsid w:val="00340C81"/>
    <w:rsid w:val="00340CDB"/>
    <w:rsid w:val="0034394F"/>
    <w:rsid w:val="00343A23"/>
    <w:rsid w:val="00344B40"/>
    <w:rsid w:val="0034547D"/>
    <w:rsid w:val="00345F81"/>
    <w:rsid w:val="003460FA"/>
    <w:rsid w:val="00346978"/>
    <w:rsid w:val="00347A2E"/>
    <w:rsid w:val="00347C45"/>
    <w:rsid w:val="00347F41"/>
    <w:rsid w:val="003501B5"/>
    <w:rsid w:val="00350B1B"/>
    <w:rsid w:val="00350D85"/>
    <w:rsid w:val="00350D91"/>
    <w:rsid w:val="0035210E"/>
    <w:rsid w:val="00352D4E"/>
    <w:rsid w:val="0035342E"/>
    <w:rsid w:val="00353842"/>
    <w:rsid w:val="0035424A"/>
    <w:rsid w:val="00354C6C"/>
    <w:rsid w:val="0035593C"/>
    <w:rsid w:val="003575F2"/>
    <w:rsid w:val="003604C1"/>
    <w:rsid w:val="003615F5"/>
    <w:rsid w:val="00361A09"/>
    <w:rsid w:val="00361C18"/>
    <w:rsid w:val="00362681"/>
    <w:rsid w:val="00364C8E"/>
    <w:rsid w:val="003655F6"/>
    <w:rsid w:val="00365B34"/>
    <w:rsid w:val="00365C5B"/>
    <w:rsid w:val="00367302"/>
    <w:rsid w:val="00367A50"/>
    <w:rsid w:val="00367AB3"/>
    <w:rsid w:val="0037001C"/>
    <w:rsid w:val="0037023E"/>
    <w:rsid w:val="00370725"/>
    <w:rsid w:val="00370CC9"/>
    <w:rsid w:val="00371029"/>
    <w:rsid w:val="00371F95"/>
    <w:rsid w:val="003725CD"/>
    <w:rsid w:val="00372E63"/>
    <w:rsid w:val="00373624"/>
    <w:rsid w:val="00373B98"/>
    <w:rsid w:val="0037408C"/>
    <w:rsid w:val="00375187"/>
    <w:rsid w:val="0037548F"/>
    <w:rsid w:val="00376628"/>
    <w:rsid w:val="0037710F"/>
    <w:rsid w:val="00377B49"/>
    <w:rsid w:val="0038069D"/>
    <w:rsid w:val="00381185"/>
    <w:rsid w:val="003814FB"/>
    <w:rsid w:val="0038182F"/>
    <w:rsid w:val="003822DE"/>
    <w:rsid w:val="003832CC"/>
    <w:rsid w:val="00383DF3"/>
    <w:rsid w:val="00383F94"/>
    <w:rsid w:val="003851AD"/>
    <w:rsid w:val="00386E9E"/>
    <w:rsid w:val="0038766D"/>
    <w:rsid w:val="003900E0"/>
    <w:rsid w:val="0039026F"/>
    <w:rsid w:val="003908CC"/>
    <w:rsid w:val="00391020"/>
    <w:rsid w:val="00391366"/>
    <w:rsid w:val="003915DD"/>
    <w:rsid w:val="00391FDF"/>
    <w:rsid w:val="0039212E"/>
    <w:rsid w:val="0039270C"/>
    <w:rsid w:val="00392ADE"/>
    <w:rsid w:val="00392E4B"/>
    <w:rsid w:val="00392F80"/>
    <w:rsid w:val="0039387E"/>
    <w:rsid w:val="00394DD9"/>
    <w:rsid w:val="00395713"/>
    <w:rsid w:val="003957A0"/>
    <w:rsid w:val="0039684D"/>
    <w:rsid w:val="00397376"/>
    <w:rsid w:val="003A017B"/>
    <w:rsid w:val="003A0A36"/>
    <w:rsid w:val="003A1AD3"/>
    <w:rsid w:val="003A227D"/>
    <w:rsid w:val="003A38CF"/>
    <w:rsid w:val="003A3E81"/>
    <w:rsid w:val="003A4064"/>
    <w:rsid w:val="003A5150"/>
    <w:rsid w:val="003A5BB1"/>
    <w:rsid w:val="003A5D32"/>
    <w:rsid w:val="003A5F87"/>
    <w:rsid w:val="003A5FA8"/>
    <w:rsid w:val="003B086A"/>
    <w:rsid w:val="003B0891"/>
    <w:rsid w:val="003B08EC"/>
    <w:rsid w:val="003B0A88"/>
    <w:rsid w:val="003B3A55"/>
    <w:rsid w:val="003B529A"/>
    <w:rsid w:val="003B6529"/>
    <w:rsid w:val="003B6C09"/>
    <w:rsid w:val="003C0C93"/>
    <w:rsid w:val="003C17F8"/>
    <w:rsid w:val="003C1A50"/>
    <w:rsid w:val="003C21D5"/>
    <w:rsid w:val="003C2361"/>
    <w:rsid w:val="003C538C"/>
    <w:rsid w:val="003C5698"/>
    <w:rsid w:val="003C5990"/>
    <w:rsid w:val="003C5C3B"/>
    <w:rsid w:val="003C643A"/>
    <w:rsid w:val="003C6578"/>
    <w:rsid w:val="003C692C"/>
    <w:rsid w:val="003C6B32"/>
    <w:rsid w:val="003C6FAF"/>
    <w:rsid w:val="003C77A3"/>
    <w:rsid w:val="003D021E"/>
    <w:rsid w:val="003D08D2"/>
    <w:rsid w:val="003D0CF0"/>
    <w:rsid w:val="003D241E"/>
    <w:rsid w:val="003D5532"/>
    <w:rsid w:val="003D6181"/>
    <w:rsid w:val="003D716A"/>
    <w:rsid w:val="003D7362"/>
    <w:rsid w:val="003D7BF7"/>
    <w:rsid w:val="003E00E8"/>
    <w:rsid w:val="003E1025"/>
    <w:rsid w:val="003E1A6A"/>
    <w:rsid w:val="003E1F7B"/>
    <w:rsid w:val="003E24E5"/>
    <w:rsid w:val="003E2802"/>
    <w:rsid w:val="003E291C"/>
    <w:rsid w:val="003E36D1"/>
    <w:rsid w:val="003E396B"/>
    <w:rsid w:val="003E3E54"/>
    <w:rsid w:val="003E4881"/>
    <w:rsid w:val="003E48DF"/>
    <w:rsid w:val="003E4977"/>
    <w:rsid w:val="003E4AD0"/>
    <w:rsid w:val="003E53D8"/>
    <w:rsid w:val="003E5D29"/>
    <w:rsid w:val="003E61B5"/>
    <w:rsid w:val="003E6973"/>
    <w:rsid w:val="003E6C04"/>
    <w:rsid w:val="003E6C4A"/>
    <w:rsid w:val="003E6CAA"/>
    <w:rsid w:val="003E79DB"/>
    <w:rsid w:val="003F03DD"/>
    <w:rsid w:val="003F0D69"/>
    <w:rsid w:val="003F0FC8"/>
    <w:rsid w:val="003F1C3A"/>
    <w:rsid w:val="003F2679"/>
    <w:rsid w:val="003F3A0A"/>
    <w:rsid w:val="003F4C65"/>
    <w:rsid w:val="003F5855"/>
    <w:rsid w:val="003F596C"/>
    <w:rsid w:val="003F736D"/>
    <w:rsid w:val="003F7A65"/>
    <w:rsid w:val="003F7C3F"/>
    <w:rsid w:val="004001E4"/>
    <w:rsid w:val="00400DBC"/>
    <w:rsid w:val="00402A94"/>
    <w:rsid w:val="00403CD6"/>
    <w:rsid w:val="00403FE4"/>
    <w:rsid w:val="00404CC5"/>
    <w:rsid w:val="00406728"/>
    <w:rsid w:val="00410DD3"/>
    <w:rsid w:val="0041142B"/>
    <w:rsid w:val="0041295A"/>
    <w:rsid w:val="00413518"/>
    <w:rsid w:val="00414592"/>
    <w:rsid w:val="00414737"/>
    <w:rsid w:val="00414E6A"/>
    <w:rsid w:val="00414FBF"/>
    <w:rsid w:val="00415AC7"/>
    <w:rsid w:val="0041698E"/>
    <w:rsid w:val="0041713F"/>
    <w:rsid w:val="0041745B"/>
    <w:rsid w:val="0041763D"/>
    <w:rsid w:val="00417964"/>
    <w:rsid w:val="00417ACD"/>
    <w:rsid w:val="00420C11"/>
    <w:rsid w:val="00422127"/>
    <w:rsid w:val="0042241A"/>
    <w:rsid w:val="00422971"/>
    <w:rsid w:val="00424527"/>
    <w:rsid w:val="00424640"/>
    <w:rsid w:val="00424D0D"/>
    <w:rsid w:val="004264EE"/>
    <w:rsid w:val="00426FB6"/>
    <w:rsid w:val="004271E2"/>
    <w:rsid w:val="0042738F"/>
    <w:rsid w:val="00427536"/>
    <w:rsid w:val="00427D07"/>
    <w:rsid w:val="00430929"/>
    <w:rsid w:val="00430A6F"/>
    <w:rsid w:val="00431233"/>
    <w:rsid w:val="0043238A"/>
    <w:rsid w:val="00433910"/>
    <w:rsid w:val="00434071"/>
    <w:rsid w:val="004354AC"/>
    <w:rsid w:val="004358A4"/>
    <w:rsid w:val="004361B6"/>
    <w:rsid w:val="00437A15"/>
    <w:rsid w:val="00437F3F"/>
    <w:rsid w:val="00441FAB"/>
    <w:rsid w:val="004424C7"/>
    <w:rsid w:val="00442606"/>
    <w:rsid w:val="00442FC3"/>
    <w:rsid w:val="0044343C"/>
    <w:rsid w:val="004437F9"/>
    <w:rsid w:val="00443811"/>
    <w:rsid w:val="00444135"/>
    <w:rsid w:val="004446A9"/>
    <w:rsid w:val="00444DF4"/>
    <w:rsid w:val="00445676"/>
    <w:rsid w:val="004457A1"/>
    <w:rsid w:val="00445CE6"/>
    <w:rsid w:val="00445EAC"/>
    <w:rsid w:val="00446489"/>
    <w:rsid w:val="0044664D"/>
    <w:rsid w:val="004467C5"/>
    <w:rsid w:val="004472FB"/>
    <w:rsid w:val="004474BF"/>
    <w:rsid w:val="00447983"/>
    <w:rsid w:val="00447A17"/>
    <w:rsid w:val="00450A62"/>
    <w:rsid w:val="00450CB3"/>
    <w:rsid w:val="0045124E"/>
    <w:rsid w:val="0045151D"/>
    <w:rsid w:val="00451780"/>
    <w:rsid w:val="00452A2D"/>
    <w:rsid w:val="00452C60"/>
    <w:rsid w:val="00452D33"/>
    <w:rsid w:val="004535BD"/>
    <w:rsid w:val="00453683"/>
    <w:rsid w:val="0045478B"/>
    <w:rsid w:val="00454C94"/>
    <w:rsid w:val="0045601F"/>
    <w:rsid w:val="00457970"/>
    <w:rsid w:val="004606E3"/>
    <w:rsid w:val="00461161"/>
    <w:rsid w:val="004618C6"/>
    <w:rsid w:val="00461C2A"/>
    <w:rsid w:val="004623F3"/>
    <w:rsid w:val="00462798"/>
    <w:rsid w:val="00462A88"/>
    <w:rsid w:val="00462D1E"/>
    <w:rsid w:val="00462DCC"/>
    <w:rsid w:val="004632C9"/>
    <w:rsid w:val="004639F0"/>
    <w:rsid w:val="00463D89"/>
    <w:rsid w:val="00463F1C"/>
    <w:rsid w:val="0046421C"/>
    <w:rsid w:val="00466530"/>
    <w:rsid w:val="004668CF"/>
    <w:rsid w:val="00466E99"/>
    <w:rsid w:val="00467104"/>
    <w:rsid w:val="0047040F"/>
    <w:rsid w:val="00470A1E"/>
    <w:rsid w:val="00471B28"/>
    <w:rsid w:val="00471DD8"/>
    <w:rsid w:val="00471FF5"/>
    <w:rsid w:val="00472669"/>
    <w:rsid w:val="0047273F"/>
    <w:rsid w:val="00472A91"/>
    <w:rsid w:val="0047378F"/>
    <w:rsid w:val="00473E0E"/>
    <w:rsid w:val="004743C7"/>
    <w:rsid w:val="0047467F"/>
    <w:rsid w:val="00474CCF"/>
    <w:rsid w:val="00474FC2"/>
    <w:rsid w:val="00476804"/>
    <w:rsid w:val="00476B68"/>
    <w:rsid w:val="004777F8"/>
    <w:rsid w:val="00477FC5"/>
    <w:rsid w:val="00481316"/>
    <w:rsid w:val="00481B5E"/>
    <w:rsid w:val="004823BA"/>
    <w:rsid w:val="00482848"/>
    <w:rsid w:val="00483AA9"/>
    <w:rsid w:val="004843F2"/>
    <w:rsid w:val="00485D3A"/>
    <w:rsid w:val="00485F50"/>
    <w:rsid w:val="00486010"/>
    <w:rsid w:val="00486780"/>
    <w:rsid w:val="004869A7"/>
    <w:rsid w:val="00486DD9"/>
    <w:rsid w:val="00487747"/>
    <w:rsid w:val="0049039D"/>
    <w:rsid w:val="00490596"/>
    <w:rsid w:val="0049145D"/>
    <w:rsid w:val="0049178D"/>
    <w:rsid w:val="004918F3"/>
    <w:rsid w:val="00491BF2"/>
    <w:rsid w:val="004929A4"/>
    <w:rsid w:val="00493610"/>
    <w:rsid w:val="00493EA4"/>
    <w:rsid w:val="004942A4"/>
    <w:rsid w:val="00494BBA"/>
    <w:rsid w:val="00495BA8"/>
    <w:rsid w:val="00496A19"/>
    <w:rsid w:val="00496E8C"/>
    <w:rsid w:val="00497374"/>
    <w:rsid w:val="0049766F"/>
    <w:rsid w:val="0049771F"/>
    <w:rsid w:val="00497CCC"/>
    <w:rsid w:val="004A141D"/>
    <w:rsid w:val="004A1431"/>
    <w:rsid w:val="004A1FB2"/>
    <w:rsid w:val="004A41F3"/>
    <w:rsid w:val="004A4D95"/>
    <w:rsid w:val="004A4DEC"/>
    <w:rsid w:val="004A5CBD"/>
    <w:rsid w:val="004B0384"/>
    <w:rsid w:val="004B1123"/>
    <w:rsid w:val="004B1A5D"/>
    <w:rsid w:val="004B1F6F"/>
    <w:rsid w:val="004B2795"/>
    <w:rsid w:val="004B2D66"/>
    <w:rsid w:val="004B3259"/>
    <w:rsid w:val="004B37ED"/>
    <w:rsid w:val="004B4CF7"/>
    <w:rsid w:val="004B4DDE"/>
    <w:rsid w:val="004B51F9"/>
    <w:rsid w:val="004B58BC"/>
    <w:rsid w:val="004B5F6A"/>
    <w:rsid w:val="004B6533"/>
    <w:rsid w:val="004B7832"/>
    <w:rsid w:val="004C0D5A"/>
    <w:rsid w:val="004C1810"/>
    <w:rsid w:val="004C1A2F"/>
    <w:rsid w:val="004C28D0"/>
    <w:rsid w:val="004C2B59"/>
    <w:rsid w:val="004C3033"/>
    <w:rsid w:val="004C30A5"/>
    <w:rsid w:val="004C3FFC"/>
    <w:rsid w:val="004C41FA"/>
    <w:rsid w:val="004C51A2"/>
    <w:rsid w:val="004C552E"/>
    <w:rsid w:val="004C5DDF"/>
    <w:rsid w:val="004C65D0"/>
    <w:rsid w:val="004C6FBE"/>
    <w:rsid w:val="004C7B25"/>
    <w:rsid w:val="004D057A"/>
    <w:rsid w:val="004D16FB"/>
    <w:rsid w:val="004D21A3"/>
    <w:rsid w:val="004D29CF"/>
    <w:rsid w:val="004D2C1A"/>
    <w:rsid w:val="004D33FA"/>
    <w:rsid w:val="004D4AC3"/>
    <w:rsid w:val="004D573C"/>
    <w:rsid w:val="004D676D"/>
    <w:rsid w:val="004D7834"/>
    <w:rsid w:val="004D79AA"/>
    <w:rsid w:val="004E0885"/>
    <w:rsid w:val="004E1853"/>
    <w:rsid w:val="004E1866"/>
    <w:rsid w:val="004E1A5F"/>
    <w:rsid w:val="004E225D"/>
    <w:rsid w:val="004E3A6A"/>
    <w:rsid w:val="004E4250"/>
    <w:rsid w:val="004E4FBF"/>
    <w:rsid w:val="004E5EB0"/>
    <w:rsid w:val="004E7416"/>
    <w:rsid w:val="004F05E3"/>
    <w:rsid w:val="004F0761"/>
    <w:rsid w:val="004F09FA"/>
    <w:rsid w:val="004F118F"/>
    <w:rsid w:val="004F138E"/>
    <w:rsid w:val="004F15ED"/>
    <w:rsid w:val="004F178F"/>
    <w:rsid w:val="004F1C2F"/>
    <w:rsid w:val="004F1E5C"/>
    <w:rsid w:val="004F1F0F"/>
    <w:rsid w:val="004F3285"/>
    <w:rsid w:val="004F345D"/>
    <w:rsid w:val="004F3E95"/>
    <w:rsid w:val="004F4CFF"/>
    <w:rsid w:val="004F5664"/>
    <w:rsid w:val="004F5A4D"/>
    <w:rsid w:val="004F5BB4"/>
    <w:rsid w:val="004F613D"/>
    <w:rsid w:val="004F6DCD"/>
    <w:rsid w:val="004F7585"/>
    <w:rsid w:val="004F7B57"/>
    <w:rsid w:val="004F7E47"/>
    <w:rsid w:val="005005BD"/>
    <w:rsid w:val="00500C2E"/>
    <w:rsid w:val="00500C32"/>
    <w:rsid w:val="00500EE4"/>
    <w:rsid w:val="00501645"/>
    <w:rsid w:val="005022FE"/>
    <w:rsid w:val="00502376"/>
    <w:rsid w:val="00502C26"/>
    <w:rsid w:val="005031AC"/>
    <w:rsid w:val="00503F73"/>
    <w:rsid w:val="0050403A"/>
    <w:rsid w:val="005041AE"/>
    <w:rsid w:val="0050448C"/>
    <w:rsid w:val="00504690"/>
    <w:rsid w:val="00505FD7"/>
    <w:rsid w:val="0050641B"/>
    <w:rsid w:val="005069E7"/>
    <w:rsid w:val="00507CFA"/>
    <w:rsid w:val="00510058"/>
    <w:rsid w:val="00511073"/>
    <w:rsid w:val="005125C6"/>
    <w:rsid w:val="0051292E"/>
    <w:rsid w:val="0051401E"/>
    <w:rsid w:val="005142A9"/>
    <w:rsid w:val="005152F3"/>
    <w:rsid w:val="005154E0"/>
    <w:rsid w:val="00515883"/>
    <w:rsid w:val="00515FD3"/>
    <w:rsid w:val="00516855"/>
    <w:rsid w:val="00516DF6"/>
    <w:rsid w:val="005170AE"/>
    <w:rsid w:val="0051754A"/>
    <w:rsid w:val="0052033C"/>
    <w:rsid w:val="005204D7"/>
    <w:rsid w:val="00520B4A"/>
    <w:rsid w:val="00520D83"/>
    <w:rsid w:val="00520E94"/>
    <w:rsid w:val="00521065"/>
    <w:rsid w:val="005213C5"/>
    <w:rsid w:val="00521F91"/>
    <w:rsid w:val="0052279C"/>
    <w:rsid w:val="00524FBC"/>
    <w:rsid w:val="005267DD"/>
    <w:rsid w:val="00527081"/>
    <w:rsid w:val="00530086"/>
    <w:rsid w:val="00530709"/>
    <w:rsid w:val="00530E1E"/>
    <w:rsid w:val="00532439"/>
    <w:rsid w:val="00532520"/>
    <w:rsid w:val="00532854"/>
    <w:rsid w:val="00532A19"/>
    <w:rsid w:val="0053303A"/>
    <w:rsid w:val="00533452"/>
    <w:rsid w:val="00533D01"/>
    <w:rsid w:val="00536E4E"/>
    <w:rsid w:val="005403A2"/>
    <w:rsid w:val="0054131D"/>
    <w:rsid w:val="00541BF3"/>
    <w:rsid w:val="00542101"/>
    <w:rsid w:val="0054258A"/>
    <w:rsid w:val="00543129"/>
    <w:rsid w:val="00543BCD"/>
    <w:rsid w:val="005442FA"/>
    <w:rsid w:val="00544C1A"/>
    <w:rsid w:val="00544D23"/>
    <w:rsid w:val="00545ADC"/>
    <w:rsid w:val="00546CF1"/>
    <w:rsid w:val="00547459"/>
    <w:rsid w:val="005476B8"/>
    <w:rsid w:val="00547716"/>
    <w:rsid w:val="00547F4D"/>
    <w:rsid w:val="005514EF"/>
    <w:rsid w:val="00551933"/>
    <w:rsid w:val="00551F20"/>
    <w:rsid w:val="00552117"/>
    <w:rsid w:val="0055224F"/>
    <w:rsid w:val="00552F06"/>
    <w:rsid w:val="00553D9B"/>
    <w:rsid w:val="00553F80"/>
    <w:rsid w:val="00554770"/>
    <w:rsid w:val="0055559F"/>
    <w:rsid w:val="00555F22"/>
    <w:rsid w:val="00557E77"/>
    <w:rsid w:val="00557FD7"/>
    <w:rsid w:val="005604C1"/>
    <w:rsid w:val="00560BDC"/>
    <w:rsid w:val="00561A26"/>
    <w:rsid w:val="00561B39"/>
    <w:rsid w:val="00561E99"/>
    <w:rsid w:val="00562030"/>
    <w:rsid w:val="005624FE"/>
    <w:rsid w:val="00562C13"/>
    <w:rsid w:val="00563041"/>
    <w:rsid w:val="0056304E"/>
    <w:rsid w:val="00563249"/>
    <w:rsid w:val="0056328E"/>
    <w:rsid w:val="005633CF"/>
    <w:rsid w:val="00563C68"/>
    <w:rsid w:val="00563D53"/>
    <w:rsid w:val="005641E5"/>
    <w:rsid w:val="00564BAC"/>
    <w:rsid w:val="00565859"/>
    <w:rsid w:val="00566E78"/>
    <w:rsid w:val="005670CD"/>
    <w:rsid w:val="0056720C"/>
    <w:rsid w:val="005672DB"/>
    <w:rsid w:val="00567FB1"/>
    <w:rsid w:val="00570307"/>
    <w:rsid w:val="0057040A"/>
    <w:rsid w:val="0057040C"/>
    <w:rsid w:val="00572AF0"/>
    <w:rsid w:val="00573069"/>
    <w:rsid w:val="00574E4D"/>
    <w:rsid w:val="005752D3"/>
    <w:rsid w:val="0057586A"/>
    <w:rsid w:val="005759E8"/>
    <w:rsid w:val="00576EE3"/>
    <w:rsid w:val="00576F70"/>
    <w:rsid w:val="00577139"/>
    <w:rsid w:val="00577A53"/>
    <w:rsid w:val="00577ECD"/>
    <w:rsid w:val="00580228"/>
    <w:rsid w:val="005803D4"/>
    <w:rsid w:val="00580627"/>
    <w:rsid w:val="0058249D"/>
    <w:rsid w:val="005827C3"/>
    <w:rsid w:val="00582ADB"/>
    <w:rsid w:val="005849FB"/>
    <w:rsid w:val="00584A67"/>
    <w:rsid w:val="00585EFC"/>
    <w:rsid w:val="00586562"/>
    <w:rsid w:val="00586B60"/>
    <w:rsid w:val="0058749B"/>
    <w:rsid w:val="005912F0"/>
    <w:rsid w:val="0059130D"/>
    <w:rsid w:val="0059250B"/>
    <w:rsid w:val="00592D79"/>
    <w:rsid w:val="0059354E"/>
    <w:rsid w:val="005942CF"/>
    <w:rsid w:val="00594C6A"/>
    <w:rsid w:val="00596078"/>
    <w:rsid w:val="00596194"/>
    <w:rsid w:val="005969A9"/>
    <w:rsid w:val="005969FF"/>
    <w:rsid w:val="00596FC3"/>
    <w:rsid w:val="00597653"/>
    <w:rsid w:val="00597B95"/>
    <w:rsid w:val="005A0030"/>
    <w:rsid w:val="005A1F4E"/>
    <w:rsid w:val="005A21C9"/>
    <w:rsid w:val="005A29B1"/>
    <w:rsid w:val="005A4BA9"/>
    <w:rsid w:val="005A58E4"/>
    <w:rsid w:val="005B11CC"/>
    <w:rsid w:val="005B1227"/>
    <w:rsid w:val="005B13D2"/>
    <w:rsid w:val="005B217F"/>
    <w:rsid w:val="005B2A1A"/>
    <w:rsid w:val="005B2CE7"/>
    <w:rsid w:val="005B35BA"/>
    <w:rsid w:val="005B46FD"/>
    <w:rsid w:val="005B4AC4"/>
    <w:rsid w:val="005B534F"/>
    <w:rsid w:val="005B543D"/>
    <w:rsid w:val="005B5BAF"/>
    <w:rsid w:val="005B5E00"/>
    <w:rsid w:val="005B629E"/>
    <w:rsid w:val="005B62F2"/>
    <w:rsid w:val="005B638C"/>
    <w:rsid w:val="005C02A4"/>
    <w:rsid w:val="005C0756"/>
    <w:rsid w:val="005C15DC"/>
    <w:rsid w:val="005C17DE"/>
    <w:rsid w:val="005C1EAD"/>
    <w:rsid w:val="005C47C7"/>
    <w:rsid w:val="005C4C05"/>
    <w:rsid w:val="005C53F2"/>
    <w:rsid w:val="005C584D"/>
    <w:rsid w:val="005C5A38"/>
    <w:rsid w:val="005C6A1F"/>
    <w:rsid w:val="005D05A9"/>
    <w:rsid w:val="005D2359"/>
    <w:rsid w:val="005D2CDD"/>
    <w:rsid w:val="005D557B"/>
    <w:rsid w:val="005D5951"/>
    <w:rsid w:val="005D5EE7"/>
    <w:rsid w:val="005D6D23"/>
    <w:rsid w:val="005D7220"/>
    <w:rsid w:val="005E0F50"/>
    <w:rsid w:val="005E2645"/>
    <w:rsid w:val="005E2A19"/>
    <w:rsid w:val="005E36FA"/>
    <w:rsid w:val="005E3A7A"/>
    <w:rsid w:val="005E3F80"/>
    <w:rsid w:val="005E49BC"/>
    <w:rsid w:val="005E509C"/>
    <w:rsid w:val="005E6659"/>
    <w:rsid w:val="005E702D"/>
    <w:rsid w:val="005E7E72"/>
    <w:rsid w:val="005F077A"/>
    <w:rsid w:val="005F0C4E"/>
    <w:rsid w:val="005F12AC"/>
    <w:rsid w:val="005F2215"/>
    <w:rsid w:val="005F229F"/>
    <w:rsid w:val="005F31C4"/>
    <w:rsid w:val="005F34F8"/>
    <w:rsid w:val="005F35C0"/>
    <w:rsid w:val="005F4CCA"/>
    <w:rsid w:val="005F51F7"/>
    <w:rsid w:val="005F57E1"/>
    <w:rsid w:val="005F5A98"/>
    <w:rsid w:val="005F5B59"/>
    <w:rsid w:val="005F5BE6"/>
    <w:rsid w:val="005F6C52"/>
    <w:rsid w:val="005F6F32"/>
    <w:rsid w:val="005F727F"/>
    <w:rsid w:val="005F7AA0"/>
    <w:rsid w:val="0060029A"/>
    <w:rsid w:val="006002A5"/>
    <w:rsid w:val="00600551"/>
    <w:rsid w:val="006012A8"/>
    <w:rsid w:val="006013CA"/>
    <w:rsid w:val="00602685"/>
    <w:rsid w:val="00603B08"/>
    <w:rsid w:val="00604E29"/>
    <w:rsid w:val="00604E85"/>
    <w:rsid w:val="006056F2"/>
    <w:rsid w:val="00605995"/>
    <w:rsid w:val="006067E9"/>
    <w:rsid w:val="0060680A"/>
    <w:rsid w:val="00606AA6"/>
    <w:rsid w:val="00606D94"/>
    <w:rsid w:val="00606EAC"/>
    <w:rsid w:val="006070E7"/>
    <w:rsid w:val="006104E7"/>
    <w:rsid w:val="00611703"/>
    <w:rsid w:val="00611781"/>
    <w:rsid w:val="0061355B"/>
    <w:rsid w:val="006149A9"/>
    <w:rsid w:val="00614B3F"/>
    <w:rsid w:val="00615184"/>
    <w:rsid w:val="00615A34"/>
    <w:rsid w:val="00615FB6"/>
    <w:rsid w:val="00616ABE"/>
    <w:rsid w:val="00616ED2"/>
    <w:rsid w:val="0062101A"/>
    <w:rsid w:val="006219D9"/>
    <w:rsid w:val="00621C3D"/>
    <w:rsid w:val="00623310"/>
    <w:rsid w:val="0062356A"/>
    <w:rsid w:val="00623C3C"/>
    <w:rsid w:val="0062456D"/>
    <w:rsid w:val="006253C6"/>
    <w:rsid w:val="0062577D"/>
    <w:rsid w:val="00625CEC"/>
    <w:rsid w:val="00626CE6"/>
    <w:rsid w:val="006279CF"/>
    <w:rsid w:val="00630AF6"/>
    <w:rsid w:val="00630F5B"/>
    <w:rsid w:val="006310B1"/>
    <w:rsid w:val="00632803"/>
    <w:rsid w:val="006328CF"/>
    <w:rsid w:val="00633428"/>
    <w:rsid w:val="0063427D"/>
    <w:rsid w:val="006346ED"/>
    <w:rsid w:val="00634C23"/>
    <w:rsid w:val="00635472"/>
    <w:rsid w:val="0063599F"/>
    <w:rsid w:val="00635E19"/>
    <w:rsid w:val="00636CB7"/>
    <w:rsid w:val="00637226"/>
    <w:rsid w:val="00637657"/>
    <w:rsid w:val="006402D1"/>
    <w:rsid w:val="006404FA"/>
    <w:rsid w:val="00641B97"/>
    <w:rsid w:val="0064323D"/>
    <w:rsid w:val="00643643"/>
    <w:rsid w:val="00643F57"/>
    <w:rsid w:val="0064545B"/>
    <w:rsid w:val="00645C90"/>
    <w:rsid w:val="00650667"/>
    <w:rsid w:val="006507F2"/>
    <w:rsid w:val="006508E9"/>
    <w:rsid w:val="00650909"/>
    <w:rsid w:val="00650CF3"/>
    <w:rsid w:val="00650D7B"/>
    <w:rsid w:val="006510C9"/>
    <w:rsid w:val="006514B8"/>
    <w:rsid w:val="00652404"/>
    <w:rsid w:val="006526DB"/>
    <w:rsid w:val="00652805"/>
    <w:rsid w:val="00654285"/>
    <w:rsid w:val="00654D8E"/>
    <w:rsid w:val="006550FD"/>
    <w:rsid w:val="006557F4"/>
    <w:rsid w:val="00656D71"/>
    <w:rsid w:val="006575FE"/>
    <w:rsid w:val="00657684"/>
    <w:rsid w:val="00660A64"/>
    <w:rsid w:val="00660D51"/>
    <w:rsid w:val="00661075"/>
    <w:rsid w:val="00662232"/>
    <w:rsid w:val="006627C3"/>
    <w:rsid w:val="006629A5"/>
    <w:rsid w:val="00662DE4"/>
    <w:rsid w:val="006638CE"/>
    <w:rsid w:val="00663E85"/>
    <w:rsid w:val="0066421F"/>
    <w:rsid w:val="0066435E"/>
    <w:rsid w:val="00664539"/>
    <w:rsid w:val="00664DE6"/>
    <w:rsid w:val="00665FCD"/>
    <w:rsid w:val="00666FB1"/>
    <w:rsid w:val="00667AB0"/>
    <w:rsid w:val="006720D8"/>
    <w:rsid w:val="00673327"/>
    <w:rsid w:val="00673834"/>
    <w:rsid w:val="00673C79"/>
    <w:rsid w:val="00673D1A"/>
    <w:rsid w:val="006741C2"/>
    <w:rsid w:val="006750EB"/>
    <w:rsid w:val="00675AC0"/>
    <w:rsid w:val="006761C0"/>
    <w:rsid w:val="00676F60"/>
    <w:rsid w:val="006775BF"/>
    <w:rsid w:val="00677A8A"/>
    <w:rsid w:val="00677B66"/>
    <w:rsid w:val="00680E83"/>
    <w:rsid w:val="006817DE"/>
    <w:rsid w:val="00681B90"/>
    <w:rsid w:val="00681CE6"/>
    <w:rsid w:val="0068202C"/>
    <w:rsid w:val="00682470"/>
    <w:rsid w:val="006825C8"/>
    <w:rsid w:val="00682F2E"/>
    <w:rsid w:val="00682FAC"/>
    <w:rsid w:val="006831E0"/>
    <w:rsid w:val="00684710"/>
    <w:rsid w:val="006848AB"/>
    <w:rsid w:val="00685220"/>
    <w:rsid w:val="00685B2F"/>
    <w:rsid w:val="0068632A"/>
    <w:rsid w:val="00686A3B"/>
    <w:rsid w:val="00687CDD"/>
    <w:rsid w:val="00690776"/>
    <w:rsid w:val="006909F5"/>
    <w:rsid w:val="00690C3A"/>
    <w:rsid w:val="00691EC4"/>
    <w:rsid w:val="00691F4C"/>
    <w:rsid w:val="00692031"/>
    <w:rsid w:val="00692481"/>
    <w:rsid w:val="00693286"/>
    <w:rsid w:val="0069386C"/>
    <w:rsid w:val="00693D6D"/>
    <w:rsid w:val="0069483A"/>
    <w:rsid w:val="006949D9"/>
    <w:rsid w:val="00694C22"/>
    <w:rsid w:val="0069589A"/>
    <w:rsid w:val="0069590C"/>
    <w:rsid w:val="00695A7D"/>
    <w:rsid w:val="00695F56"/>
    <w:rsid w:val="00695F6F"/>
    <w:rsid w:val="00696433"/>
    <w:rsid w:val="00696586"/>
    <w:rsid w:val="00696AFB"/>
    <w:rsid w:val="00696E08"/>
    <w:rsid w:val="00696EEF"/>
    <w:rsid w:val="00697CB3"/>
    <w:rsid w:val="006A00E7"/>
    <w:rsid w:val="006A1C27"/>
    <w:rsid w:val="006A332A"/>
    <w:rsid w:val="006A371B"/>
    <w:rsid w:val="006A3CA0"/>
    <w:rsid w:val="006A3DDA"/>
    <w:rsid w:val="006A4750"/>
    <w:rsid w:val="006A5237"/>
    <w:rsid w:val="006A57AB"/>
    <w:rsid w:val="006A5A45"/>
    <w:rsid w:val="006A6A6E"/>
    <w:rsid w:val="006A7796"/>
    <w:rsid w:val="006A797E"/>
    <w:rsid w:val="006B0C9B"/>
    <w:rsid w:val="006B0E0C"/>
    <w:rsid w:val="006B2076"/>
    <w:rsid w:val="006B28A8"/>
    <w:rsid w:val="006B3551"/>
    <w:rsid w:val="006B4253"/>
    <w:rsid w:val="006B4C5B"/>
    <w:rsid w:val="006B55EA"/>
    <w:rsid w:val="006B6FE4"/>
    <w:rsid w:val="006B76F8"/>
    <w:rsid w:val="006B7BD8"/>
    <w:rsid w:val="006C0949"/>
    <w:rsid w:val="006C2468"/>
    <w:rsid w:val="006C2515"/>
    <w:rsid w:val="006C2852"/>
    <w:rsid w:val="006C3927"/>
    <w:rsid w:val="006C4DDC"/>
    <w:rsid w:val="006C54AF"/>
    <w:rsid w:val="006C6488"/>
    <w:rsid w:val="006C670C"/>
    <w:rsid w:val="006C70EF"/>
    <w:rsid w:val="006C7198"/>
    <w:rsid w:val="006D0FB7"/>
    <w:rsid w:val="006D1B45"/>
    <w:rsid w:val="006D1D34"/>
    <w:rsid w:val="006D1F44"/>
    <w:rsid w:val="006D237E"/>
    <w:rsid w:val="006D296D"/>
    <w:rsid w:val="006D363C"/>
    <w:rsid w:val="006D3753"/>
    <w:rsid w:val="006D391F"/>
    <w:rsid w:val="006D4C2E"/>
    <w:rsid w:val="006D5545"/>
    <w:rsid w:val="006D6ED1"/>
    <w:rsid w:val="006D76A8"/>
    <w:rsid w:val="006D7C1F"/>
    <w:rsid w:val="006D7C73"/>
    <w:rsid w:val="006E1497"/>
    <w:rsid w:val="006E20CE"/>
    <w:rsid w:val="006E3065"/>
    <w:rsid w:val="006E308C"/>
    <w:rsid w:val="006E3D89"/>
    <w:rsid w:val="006E4027"/>
    <w:rsid w:val="006E4EF0"/>
    <w:rsid w:val="006E58C2"/>
    <w:rsid w:val="006E5BB5"/>
    <w:rsid w:val="006E61DF"/>
    <w:rsid w:val="006E671D"/>
    <w:rsid w:val="006E67A2"/>
    <w:rsid w:val="006E6DED"/>
    <w:rsid w:val="006E6F05"/>
    <w:rsid w:val="006E73D1"/>
    <w:rsid w:val="006E7DFA"/>
    <w:rsid w:val="006E7EDF"/>
    <w:rsid w:val="006F0096"/>
    <w:rsid w:val="006F033E"/>
    <w:rsid w:val="006F0B8D"/>
    <w:rsid w:val="006F1E99"/>
    <w:rsid w:val="006F2060"/>
    <w:rsid w:val="006F2069"/>
    <w:rsid w:val="006F2094"/>
    <w:rsid w:val="006F20BE"/>
    <w:rsid w:val="006F2D1B"/>
    <w:rsid w:val="006F356D"/>
    <w:rsid w:val="006F3CD5"/>
    <w:rsid w:val="006F4ACA"/>
    <w:rsid w:val="006F5260"/>
    <w:rsid w:val="006F5510"/>
    <w:rsid w:val="006F611C"/>
    <w:rsid w:val="006F63FE"/>
    <w:rsid w:val="006F6D05"/>
    <w:rsid w:val="006F75AC"/>
    <w:rsid w:val="006F792B"/>
    <w:rsid w:val="006F7B92"/>
    <w:rsid w:val="007006E4"/>
    <w:rsid w:val="00701272"/>
    <w:rsid w:val="00701B3F"/>
    <w:rsid w:val="00701B4D"/>
    <w:rsid w:val="00702331"/>
    <w:rsid w:val="00702A92"/>
    <w:rsid w:val="007030F7"/>
    <w:rsid w:val="007031FA"/>
    <w:rsid w:val="00703FF3"/>
    <w:rsid w:val="0070512C"/>
    <w:rsid w:val="007052D8"/>
    <w:rsid w:val="00705DB5"/>
    <w:rsid w:val="007068D3"/>
    <w:rsid w:val="00706D5A"/>
    <w:rsid w:val="00707592"/>
    <w:rsid w:val="00707C10"/>
    <w:rsid w:val="00707D54"/>
    <w:rsid w:val="007107C8"/>
    <w:rsid w:val="00710917"/>
    <w:rsid w:val="00710D68"/>
    <w:rsid w:val="00712256"/>
    <w:rsid w:val="00712B5D"/>
    <w:rsid w:val="00712CD9"/>
    <w:rsid w:val="00712EC7"/>
    <w:rsid w:val="007139E7"/>
    <w:rsid w:val="00713D8E"/>
    <w:rsid w:val="0071419A"/>
    <w:rsid w:val="00714751"/>
    <w:rsid w:val="00714BF3"/>
    <w:rsid w:val="00715D9A"/>
    <w:rsid w:val="007167D0"/>
    <w:rsid w:val="007175C2"/>
    <w:rsid w:val="00717852"/>
    <w:rsid w:val="00717A7D"/>
    <w:rsid w:val="00717D36"/>
    <w:rsid w:val="0072026E"/>
    <w:rsid w:val="0072045E"/>
    <w:rsid w:val="007207DF"/>
    <w:rsid w:val="00720964"/>
    <w:rsid w:val="00721BA6"/>
    <w:rsid w:val="0072314F"/>
    <w:rsid w:val="00723452"/>
    <w:rsid w:val="0072346B"/>
    <w:rsid w:val="007239D0"/>
    <w:rsid w:val="00724682"/>
    <w:rsid w:val="00725737"/>
    <w:rsid w:val="00725E7B"/>
    <w:rsid w:val="00727277"/>
    <w:rsid w:val="00727928"/>
    <w:rsid w:val="00727D4D"/>
    <w:rsid w:val="0073025D"/>
    <w:rsid w:val="007315BC"/>
    <w:rsid w:val="00731771"/>
    <w:rsid w:val="00731EAC"/>
    <w:rsid w:val="0073217B"/>
    <w:rsid w:val="007324F7"/>
    <w:rsid w:val="00732D27"/>
    <w:rsid w:val="00733767"/>
    <w:rsid w:val="0073482E"/>
    <w:rsid w:val="0073499B"/>
    <w:rsid w:val="00734F3C"/>
    <w:rsid w:val="007368B1"/>
    <w:rsid w:val="00736AAD"/>
    <w:rsid w:val="007371CF"/>
    <w:rsid w:val="00737237"/>
    <w:rsid w:val="007372FD"/>
    <w:rsid w:val="007376CE"/>
    <w:rsid w:val="0073791E"/>
    <w:rsid w:val="00737DCC"/>
    <w:rsid w:val="007402C7"/>
    <w:rsid w:val="007406D1"/>
    <w:rsid w:val="00740978"/>
    <w:rsid w:val="00740EC2"/>
    <w:rsid w:val="00740FB6"/>
    <w:rsid w:val="00741CB7"/>
    <w:rsid w:val="00741E5C"/>
    <w:rsid w:val="007421F3"/>
    <w:rsid w:val="007422AD"/>
    <w:rsid w:val="007424DA"/>
    <w:rsid w:val="00742DF7"/>
    <w:rsid w:val="00742E02"/>
    <w:rsid w:val="00743404"/>
    <w:rsid w:val="0074399B"/>
    <w:rsid w:val="007455FE"/>
    <w:rsid w:val="00745801"/>
    <w:rsid w:val="00745806"/>
    <w:rsid w:val="007467D7"/>
    <w:rsid w:val="00746938"/>
    <w:rsid w:val="00746DD8"/>
    <w:rsid w:val="00746FF1"/>
    <w:rsid w:val="00747434"/>
    <w:rsid w:val="00747B83"/>
    <w:rsid w:val="007501A9"/>
    <w:rsid w:val="00750C8A"/>
    <w:rsid w:val="0075166A"/>
    <w:rsid w:val="00751B94"/>
    <w:rsid w:val="00751C89"/>
    <w:rsid w:val="00752061"/>
    <w:rsid w:val="00752362"/>
    <w:rsid w:val="0075275F"/>
    <w:rsid w:val="007527AF"/>
    <w:rsid w:val="00752B62"/>
    <w:rsid w:val="00752DE5"/>
    <w:rsid w:val="00753012"/>
    <w:rsid w:val="007537D8"/>
    <w:rsid w:val="007539ED"/>
    <w:rsid w:val="007543BE"/>
    <w:rsid w:val="007543C8"/>
    <w:rsid w:val="0075476D"/>
    <w:rsid w:val="007563A0"/>
    <w:rsid w:val="00756828"/>
    <w:rsid w:val="00756F1C"/>
    <w:rsid w:val="00756FF5"/>
    <w:rsid w:val="007577AE"/>
    <w:rsid w:val="0076006A"/>
    <w:rsid w:val="0076016C"/>
    <w:rsid w:val="007608BB"/>
    <w:rsid w:val="00760C52"/>
    <w:rsid w:val="007610C7"/>
    <w:rsid w:val="00761A9C"/>
    <w:rsid w:val="00761F95"/>
    <w:rsid w:val="0076299F"/>
    <w:rsid w:val="00763664"/>
    <w:rsid w:val="007642AD"/>
    <w:rsid w:val="007647C6"/>
    <w:rsid w:val="0076488F"/>
    <w:rsid w:val="007648F4"/>
    <w:rsid w:val="0076549B"/>
    <w:rsid w:val="00765572"/>
    <w:rsid w:val="0076692B"/>
    <w:rsid w:val="00766AC2"/>
    <w:rsid w:val="00770634"/>
    <w:rsid w:val="0077138E"/>
    <w:rsid w:val="00771804"/>
    <w:rsid w:val="00771D09"/>
    <w:rsid w:val="00771F55"/>
    <w:rsid w:val="007727B6"/>
    <w:rsid w:val="00773E45"/>
    <w:rsid w:val="007741A0"/>
    <w:rsid w:val="00775A67"/>
    <w:rsid w:val="007763A1"/>
    <w:rsid w:val="00777710"/>
    <w:rsid w:val="007777B9"/>
    <w:rsid w:val="00780509"/>
    <w:rsid w:val="00780BA5"/>
    <w:rsid w:val="007826F8"/>
    <w:rsid w:val="007828BA"/>
    <w:rsid w:val="007833F2"/>
    <w:rsid w:val="007846A5"/>
    <w:rsid w:val="00784A5F"/>
    <w:rsid w:val="00787026"/>
    <w:rsid w:val="007875D8"/>
    <w:rsid w:val="007875F6"/>
    <w:rsid w:val="00790A07"/>
    <w:rsid w:val="0079168C"/>
    <w:rsid w:val="00791BF0"/>
    <w:rsid w:val="00791C63"/>
    <w:rsid w:val="00792263"/>
    <w:rsid w:val="00792438"/>
    <w:rsid w:val="007926E6"/>
    <w:rsid w:val="007929BC"/>
    <w:rsid w:val="00793882"/>
    <w:rsid w:val="00793C1A"/>
    <w:rsid w:val="0079446B"/>
    <w:rsid w:val="00794E12"/>
    <w:rsid w:val="0079538E"/>
    <w:rsid w:val="0079568F"/>
    <w:rsid w:val="00795EB0"/>
    <w:rsid w:val="0079626B"/>
    <w:rsid w:val="007A0B7A"/>
    <w:rsid w:val="007A22E7"/>
    <w:rsid w:val="007A293D"/>
    <w:rsid w:val="007A3B60"/>
    <w:rsid w:val="007A4EE7"/>
    <w:rsid w:val="007A5389"/>
    <w:rsid w:val="007A53F6"/>
    <w:rsid w:val="007A6C46"/>
    <w:rsid w:val="007A7448"/>
    <w:rsid w:val="007A7901"/>
    <w:rsid w:val="007B048C"/>
    <w:rsid w:val="007B177D"/>
    <w:rsid w:val="007B207E"/>
    <w:rsid w:val="007B210F"/>
    <w:rsid w:val="007B26DB"/>
    <w:rsid w:val="007B2F23"/>
    <w:rsid w:val="007B3174"/>
    <w:rsid w:val="007B3D8A"/>
    <w:rsid w:val="007B42E4"/>
    <w:rsid w:val="007B4DAE"/>
    <w:rsid w:val="007B4FED"/>
    <w:rsid w:val="007B5099"/>
    <w:rsid w:val="007B6DD0"/>
    <w:rsid w:val="007B75F0"/>
    <w:rsid w:val="007B77FD"/>
    <w:rsid w:val="007B7BA9"/>
    <w:rsid w:val="007C08D3"/>
    <w:rsid w:val="007C0F5D"/>
    <w:rsid w:val="007C20DC"/>
    <w:rsid w:val="007C23ED"/>
    <w:rsid w:val="007C2B0E"/>
    <w:rsid w:val="007C3C1C"/>
    <w:rsid w:val="007C4DCD"/>
    <w:rsid w:val="007C4DF1"/>
    <w:rsid w:val="007C4FC1"/>
    <w:rsid w:val="007C6E4D"/>
    <w:rsid w:val="007C758C"/>
    <w:rsid w:val="007C7D8B"/>
    <w:rsid w:val="007D08A6"/>
    <w:rsid w:val="007D0AB1"/>
    <w:rsid w:val="007D0FA8"/>
    <w:rsid w:val="007D18C2"/>
    <w:rsid w:val="007D1C08"/>
    <w:rsid w:val="007D1F88"/>
    <w:rsid w:val="007D2283"/>
    <w:rsid w:val="007D2683"/>
    <w:rsid w:val="007D272F"/>
    <w:rsid w:val="007D39EE"/>
    <w:rsid w:val="007D3A62"/>
    <w:rsid w:val="007D3C77"/>
    <w:rsid w:val="007D3D7D"/>
    <w:rsid w:val="007D5242"/>
    <w:rsid w:val="007D64DC"/>
    <w:rsid w:val="007D6B2B"/>
    <w:rsid w:val="007D6DAE"/>
    <w:rsid w:val="007D7879"/>
    <w:rsid w:val="007D7963"/>
    <w:rsid w:val="007E050C"/>
    <w:rsid w:val="007E15C6"/>
    <w:rsid w:val="007E1A88"/>
    <w:rsid w:val="007E216C"/>
    <w:rsid w:val="007E2C10"/>
    <w:rsid w:val="007E32C5"/>
    <w:rsid w:val="007E35B2"/>
    <w:rsid w:val="007E3B53"/>
    <w:rsid w:val="007E3B57"/>
    <w:rsid w:val="007E4C45"/>
    <w:rsid w:val="007E5121"/>
    <w:rsid w:val="007E56BE"/>
    <w:rsid w:val="007E57B5"/>
    <w:rsid w:val="007E5DD6"/>
    <w:rsid w:val="007E6195"/>
    <w:rsid w:val="007E62C6"/>
    <w:rsid w:val="007E7A30"/>
    <w:rsid w:val="007F06B1"/>
    <w:rsid w:val="007F0817"/>
    <w:rsid w:val="007F14E6"/>
    <w:rsid w:val="007F174D"/>
    <w:rsid w:val="007F1F11"/>
    <w:rsid w:val="007F22CB"/>
    <w:rsid w:val="007F2AAF"/>
    <w:rsid w:val="007F3B22"/>
    <w:rsid w:val="007F3B36"/>
    <w:rsid w:val="007F41E6"/>
    <w:rsid w:val="007F4403"/>
    <w:rsid w:val="007F485F"/>
    <w:rsid w:val="007F4901"/>
    <w:rsid w:val="007F49D0"/>
    <w:rsid w:val="007F4C69"/>
    <w:rsid w:val="007F5020"/>
    <w:rsid w:val="007F5BBE"/>
    <w:rsid w:val="007F5D08"/>
    <w:rsid w:val="00801B30"/>
    <w:rsid w:val="00801CF8"/>
    <w:rsid w:val="00801F1D"/>
    <w:rsid w:val="00804487"/>
    <w:rsid w:val="008044F7"/>
    <w:rsid w:val="0080451F"/>
    <w:rsid w:val="00804713"/>
    <w:rsid w:val="00804951"/>
    <w:rsid w:val="00806D26"/>
    <w:rsid w:val="00806E73"/>
    <w:rsid w:val="00810096"/>
    <w:rsid w:val="00810AC9"/>
    <w:rsid w:val="00810DF7"/>
    <w:rsid w:val="00810E2E"/>
    <w:rsid w:val="00810ECB"/>
    <w:rsid w:val="00811F25"/>
    <w:rsid w:val="0081414C"/>
    <w:rsid w:val="008141BF"/>
    <w:rsid w:val="0081429B"/>
    <w:rsid w:val="00814597"/>
    <w:rsid w:val="00814DEF"/>
    <w:rsid w:val="0081518B"/>
    <w:rsid w:val="00815328"/>
    <w:rsid w:val="00815744"/>
    <w:rsid w:val="00815F89"/>
    <w:rsid w:val="00816965"/>
    <w:rsid w:val="00816D02"/>
    <w:rsid w:val="00816F69"/>
    <w:rsid w:val="00817FD6"/>
    <w:rsid w:val="008202AE"/>
    <w:rsid w:val="00820613"/>
    <w:rsid w:val="00821097"/>
    <w:rsid w:val="00821756"/>
    <w:rsid w:val="00822678"/>
    <w:rsid w:val="008226B4"/>
    <w:rsid w:val="0082276E"/>
    <w:rsid w:val="008230C4"/>
    <w:rsid w:val="008243E4"/>
    <w:rsid w:val="008259EF"/>
    <w:rsid w:val="008261D0"/>
    <w:rsid w:val="0082639B"/>
    <w:rsid w:val="00830952"/>
    <w:rsid w:val="008312AA"/>
    <w:rsid w:val="00831981"/>
    <w:rsid w:val="00831AE9"/>
    <w:rsid w:val="00831C2B"/>
    <w:rsid w:val="00833C5F"/>
    <w:rsid w:val="00834A1B"/>
    <w:rsid w:val="00835450"/>
    <w:rsid w:val="008362CD"/>
    <w:rsid w:val="00836388"/>
    <w:rsid w:val="008365DA"/>
    <w:rsid w:val="008369D6"/>
    <w:rsid w:val="0083754E"/>
    <w:rsid w:val="008378FB"/>
    <w:rsid w:val="0083794B"/>
    <w:rsid w:val="00840036"/>
    <w:rsid w:val="008404CC"/>
    <w:rsid w:val="008405AF"/>
    <w:rsid w:val="008409AE"/>
    <w:rsid w:val="00842CB4"/>
    <w:rsid w:val="00842EA2"/>
    <w:rsid w:val="00842F5A"/>
    <w:rsid w:val="008436F1"/>
    <w:rsid w:val="00844D1C"/>
    <w:rsid w:val="00844D22"/>
    <w:rsid w:val="008450D5"/>
    <w:rsid w:val="00845A4C"/>
    <w:rsid w:val="008460A7"/>
    <w:rsid w:val="00846938"/>
    <w:rsid w:val="00846C95"/>
    <w:rsid w:val="008474E2"/>
    <w:rsid w:val="00850A8E"/>
    <w:rsid w:val="00850FD6"/>
    <w:rsid w:val="0085163E"/>
    <w:rsid w:val="00851F79"/>
    <w:rsid w:val="0085214D"/>
    <w:rsid w:val="0085254D"/>
    <w:rsid w:val="00853EA6"/>
    <w:rsid w:val="008545B1"/>
    <w:rsid w:val="008547C5"/>
    <w:rsid w:val="008554F9"/>
    <w:rsid w:val="00855DED"/>
    <w:rsid w:val="00855E54"/>
    <w:rsid w:val="0085605B"/>
    <w:rsid w:val="008560FF"/>
    <w:rsid w:val="00856170"/>
    <w:rsid w:val="008567BC"/>
    <w:rsid w:val="00856AE3"/>
    <w:rsid w:val="00857E12"/>
    <w:rsid w:val="008624CF"/>
    <w:rsid w:val="00863FA0"/>
    <w:rsid w:val="008658F1"/>
    <w:rsid w:val="00866528"/>
    <w:rsid w:val="00867100"/>
    <w:rsid w:val="008673AA"/>
    <w:rsid w:val="008674EF"/>
    <w:rsid w:val="0087209B"/>
    <w:rsid w:val="00872293"/>
    <w:rsid w:val="00872364"/>
    <w:rsid w:val="008724AA"/>
    <w:rsid w:val="00872578"/>
    <w:rsid w:val="0087262C"/>
    <w:rsid w:val="008728F5"/>
    <w:rsid w:val="008730C4"/>
    <w:rsid w:val="00873159"/>
    <w:rsid w:val="00873D1F"/>
    <w:rsid w:val="008743E3"/>
    <w:rsid w:val="00874950"/>
    <w:rsid w:val="0087504C"/>
    <w:rsid w:val="00876A80"/>
    <w:rsid w:val="00876B67"/>
    <w:rsid w:val="00877E16"/>
    <w:rsid w:val="00880939"/>
    <w:rsid w:val="00881DC2"/>
    <w:rsid w:val="00882B2A"/>
    <w:rsid w:val="00884680"/>
    <w:rsid w:val="00884FA8"/>
    <w:rsid w:val="0088517D"/>
    <w:rsid w:val="00885212"/>
    <w:rsid w:val="00885365"/>
    <w:rsid w:val="0088707F"/>
    <w:rsid w:val="0088733B"/>
    <w:rsid w:val="0089016E"/>
    <w:rsid w:val="00890F84"/>
    <w:rsid w:val="00891013"/>
    <w:rsid w:val="008910B9"/>
    <w:rsid w:val="00892547"/>
    <w:rsid w:val="00894742"/>
    <w:rsid w:val="00894CF3"/>
    <w:rsid w:val="00895504"/>
    <w:rsid w:val="0089651B"/>
    <w:rsid w:val="00896A81"/>
    <w:rsid w:val="008973D8"/>
    <w:rsid w:val="008977F3"/>
    <w:rsid w:val="00897AD4"/>
    <w:rsid w:val="00897DCD"/>
    <w:rsid w:val="008A0F32"/>
    <w:rsid w:val="008A2641"/>
    <w:rsid w:val="008A507D"/>
    <w:rsid w:val="008A571F"/>
    <w:rsid w:val="008A598B"/>
    <w:rsid w:val="008A5B9B"/>
    <w:rsid w:val="008A5EFF"/>
    <w:rsid w:val="008A6644"/>
    <w:rsid w:val="008A7F14"/>
    <w:rsid w:val="008B085E"/>
    <w:rsid w:val="008B08B4"/>
    <w:rsid w:val="008B0A73"/>
    <w:rsid w:val="008B0FA9"/>
    <w:rsid w:val="008B1D73"/>
    <w:rsid w:val="008B1FA0"/>
    <w:rsid w:val="008B2053"/>
    <w:rsid w:val="008B23D5"/>
    <w:rsid w:val="008B23E3"/>
    <w:rsid w:val="008B26A0"/>
    <w:rsid w:val="008B2DC1"/>
    <w:rsid w:val="008B3670"/>
    <w:rsid w:val="008B41F4"/>
    <w:rsid w:val="008B5625"/>
    <w:rsid w:val="008B6098"/>
    <w:rsid w:val="008B7A27"/>
    <w:rsid w:val="008B7DE1"/>
    <w:rsid w:val="008C066B"/>
    <w:rsid w:val="008C080E"/>
    <w:rsid w:val="008C0A65"/>
    <w:rsid w:val="008C0DFC"/>
    <w:rsid w:val="008C0EBC"/>
    <w:rsid w:val="008C12A8"/>
    <w:rsid w:val="008C27D1"/>
    <w:rsid w:val="008C2BDD"/>
    <w:rsid w:val="008C310C"/>
    <w:rsid w:val="008C44A0"/>
    <w:rsid w:val="008C50B2"/>
    <w:rsid w:val="008C5ABB"/>
    <w:rsid w:val="008C60DB"/>
    <w:rsid w:val="008C62C3"/>
    <w:rsid w:val="008C6524"/>
    <w:rsid w:val="008C7586"/>
    <w:rsid w:val="008C7720"/>
    <w:rsid w:val="008C77E8"/>
    <w:rsid w:val="008D019A"/>
    <w:rsid w:val="008D052F"/>
    <w:rsid w:val="008D09CC"/>
    <w:rsid w:val="008D3234"/>
    <w:rsid w:val="008D34A2"/>
    <w:rsid w:val="008D36C5"/>
    <w:rsid w:val="008D372C"/>
    <w:rsid w:val="008D3D18"/>
    <w:rsid w:val="008D48D6"/>
    <w:rsid w:val="008D4A00"/>
    <w:rsid w:val="008D4BD4"/>
    <w:rsid w:val="008D4C06"/>
    <w:rsid w:val="008D5AAA"/>
    <w:rsid w:val="008D62AB"/>
    <w:rsid w:val="008D66BE"/>
    <w:rsid w:val="008D6C26"/>
    <w:rsid w:val="008D6DBE"/>
    <w:rsid w:val="008D6EB4"/>
    <w:rsid w:val="008D7791"/>
    <w:rsid w:val="008E03D7"/>
    <w:rsid w:val="008E1AE6"/>
    <w:rsid w:val="008E2ABF"/>
    <w:rsid w:val="008E331B"/>
    <w:rsid w:val="008E3F20"/>
    <w:rsid w:val="008E44EF"/>
    <w:rsid w:val="008E498E"/>
    <w:rsid w:val="008E59B8"/>
    <w:rsid w:val="008E5C1E"/>
    <w:rsid w:val="008E7A80"/>
    <w:rsid w:val="008F004F"/>
    <w:rsid w:val="008F063A"/>
    <w:rsid w:val="008F0688"/>
    <w:rsid w:val="008F07CB"/>
    <w:rsid w:val="008F113B"/>
    <w:rsid w:val="008F1313"/>
    <w:rsid w:val="008F16EE"/>
    <w:rsid w:val="008F28B1"/>
    <w:rsid w:val="008F2E4D"/>
    <w:rsid w:val="008F2E95"/>
    <w:rsid w:val="008F37FA"/>
    <w:rsid w:val="008F39FC"/>
    <w:rsid w:val="008F3BED"/>
    <w:rsid w:val="008F3EA9"/>
    <w:rsid w:val="008F4246"/>
    <w:rsid w:val="008F4388"/>
    <w:rsid w:val="008F48EE"/>
    <w:rsid w:val="008F5410"/>
    <w:rsid w:val="008F5479"/>
    <w:rsid w:val="008F60C3"/>
    <w:rsid w:val="008F6942"/>
    <w:rsid w:val="008F715C"/>
    <w:rsid w:val="008F7CE8"/>
    <w:rsid w:val="00900509"/>
    <w:rsid w:val="009007D0"/>
    <w:rsid w:val="00900D40"/>
    <w:rsid w:val="00900E19"/>
    <w:rsid w:val="0090117B"/>
    <w:rsid w:val="009037B6"/>
    <w:rsid w:val="009038F9"/>
    <w:rsid w:val="00905A7A"/>
    <w:rsid w:val="009076A4"/>
    <w:rsid w:val="00910037"/>
    <w:rsid w:val="0091064A"/>
    <w:rsid w:val="009122C7"/>
    <w:rsid w:val="00912758"/>
    <w:rsid w:val="00912A40"/>
    <w:rsid w:val="009138F0"/>
    <w:rsid w:val="00915C71"/>
    <w:rsid w:val="009163FA"/>
    <w:rsid w:val="00916B01"/>
    <w:rsid w:val="00917C93"/>
    <w:rsid w:val="009203CC"/>
    <w:rsid w:val="00920611"/>
    <w:rsid w:val="009213A1"/>
    <w:rsid w:val="009215FD"/>
    <w:rsid w:val="009217AE"/>
    <w:rsid w:val="00921BDE"/>
    <w:rsid w:val="009222FA"/>
    <w:rsid w:val="00923C25"/>
    <w:rsid w:val="00924135"/>
    <w:rsid w:val="00924B7A"/>
    <w:rsid w:val="00924E3A"/>
    <w:rsid w:val="00925287"/>
    <w:rsid w:val="0092566A"/>
    <w:rsid w:val="009258C4"/>
    <w:rsid w:val="0092716A"/>
    <w:rsid w:val="00927B3D"/>
    <w:rsid w:val="00931416"/>
    <w:rsid w:val="00931C04"/>
    <w:rsid w:val="009325FF"/>
    <w:rsid w:val="00932F9B"/>
    <w:rsid w:val="00933961"/>
    <w:rsid w:val="00933BEA"/>
    <w:rsid w:val="00933FF8"/>
    <w:rsid w:val="00934D5F"/>
    <w:rsid w:val="009358EE"/>
    <w:rsid w:val="00936057"/>
    <w:rsid w:val="0093660F"/>
    <w:rsid w:val="009372A6"/>
    <w:rsid w:val="009379B7"/>
    <w:rsid w:val="00937A0E"/>
    <w:rsid w:val="009400A4"/>
    <w:rsid w:val="00940C8A"/>
    <w:rsid w:val="009416DD"/>
    <w:rsid w:val="00942BBF"/>
    <w:rsid w:val="009431B3"/>
    <w:rsid w:val="009436B1"/>
    <w:rsid w:val="009436DF"/>
    <w:rsid w:val="009441BB"/>
    <w:rsid w:val="00944884"/>
    <w:rsid w:val="0094490A"/>
    <w:rsid w:val="00944A85"/>
    <w:rsid w:val="00944F5D"/>
    <w:rsid w:val="0094590E"/>
    <w:rsid w:val="00947470"/>
    <w:rsid w:val="00947629"/>
    <w:rsid w:val="00947905"/>
    <w:rsid w:val="0095027E"/>
    <w:rsid w:val="00950313"/>
    <w:rsid w:val="00950DB8"/>
    <w:rsid w:val="009517E2"/>
    <w:rsid w:val="00951980"/>
    <w:rsid w:val="009525D6"/>
    <w:rsid w:val="00953267"/>
    <w:rsid w:val="00953664"/>
    <w:rsid w:val="00954FD7"/>
    <w:rsid w:val="0095582F"/>
    <w:rsid w:val="00955E78"/>
    <w:rsid w:val="009575D0"/>
    <w:rsid w:val="009579E5"/>
    <w:rsid w:val="00960475"/>
    <w:rsid w:val="009614CF"/>
    <w:rsid w:val="00961795"/>
    <w:rsid w:val="009625FB"/>
    <w:rsid w:val="009641B3"/>
    <w:rsid w:val="00964393"/>
    <w:rsid w:val="00966559"/>
    <w:rsid w:val="0096691E"/>
    <w:rsid w:val="009669CD"/>
    <w:rsid w:val="00966A76"/>
    <w:rsid w:val="00966B77"/>
    <w:rsid w:val="0096703B"/>
    <w:rsid w:val="00967AD2"/>
    <w:rsid w:val="00970D0A"/>
    <w:rsid w:val="00970F7C"/>
    <w:rsid w:val="00970FB1"/>
    <w:rsid w:val="009715EA"/>
    <w:rsid w:val="009718F7"/>
    <w:rsid w:val="00971D8F"/>
    <w:rsid w:val="00971F45"/>
    <w:rsid w:val="00971F61"/>
    <w:rsid w:val="009724A0"/>
    <w:rsid w:val="0097297A"/>
    <w:rsid w:val="00972A7A"/>
    <w:rsid w:val="00973339"/>
    <w:rsid w:val="009737B8"/>
    <w:rsid w:val="00977884"/>
    <w:rsid w:val="0098093B"/>
    <w:rsid w:val="009810B2"/>
    <w:rsid w:val="00981ABD"/>
    <w:rsid w:val="00981D92"/>
    <w:rsid w:val="00982ED3"/>
    <w:rsid w:val="00983D98"/>
    <w:rsid w:val="00983DA4"/>
    <w:rsid w:val="009843A2"/>
    <w:rsid w:val="00984726"/>
    <w:rsid w:val="00985073"/>
    <w:rsid w:val="0098547F"/>
    <w:rsid w:val="009857E8"/>
    <w:rsid w:val="00985C7E"/>
    <w:rsid w:val="00986CAF"/>
    <w:rsid w:val="009873CB"/>
    <w:rsid w:val="00987D0C"/>
    <w:rsid w:val="00990576"/>
    <w:rsid w:val="00990585"/>
    <w:rsid w:val="0099138A"/>
    <w:rsid w:val="009922A1"/>
    <w:rsid w:val="009922A9"/>
    <w:rsid w:val="0099286A"/>
    <w:rsid w:val="00992BAA"/>
    <w:rsid w:val="00992F94"/>
    <w:rsid w:val="00993506"/>
    <w:rsid w:val="0099353D"/>
    <w:rsid w:val="00993690"/>
    <w:rsid w:val="0099384E"/>
    <w:rsid w:val="00993B33"/>
    <w:rsid w:val="00993ED6"/>
    <w:rsid w:val="009940DC"/>
    <w:rsid w:val="009942F9"/>
    <w:rsid w:val="00994466"/>
    <w:rsid w:val="00994C06"/>
    <w:rsid w:val="009954FE"/>
    <w:rsid w:val="00995C9E"/>
    <w:rsid w:val="00995F4E"/>
    <w:rsid w:val="0099622E"/>
    <w:rsid w:val="009968A4"/>
    <w:rsid w:val="00996F7C"/>
    <w:rsid w:val="009974D7"/>
    <w:rsid w:val="00997638"/>
    <w:rsid w:val="009976FC"/>
    <w:rsid w:val="009A04DF"/>
    <w:rsid w:val="009A0959"/>
    <w:rsid w:val="009A2076"/>
    <w:rsid w:val="009A2D18"/>
    <w:rsid w:val="009A42F0"/>
    <w:rsid w:val="009A50FA"/>
    <w:rsid w:val="009A5168"/>
    <w:rsid w:val="009A5D70"/>
    <w:rsid w:val="009A5FFC"/>
    <w:rsid w:val="009A6CD2"/>
    <w:rsid w:val="009A6E0D"/>
    <w:rsid w:val="009A7716"/>
    <w:rsid w:val="009B1887"/>
    <w:rsid w:val="009B2859"/>
    <w:rsid w:val="009B2A66"/>
    <w:rsid w:val="009B2BF5"/>
    <w:rsid w:val="009B37DC"/>
    <w:rsid w:val="009B3AC8"/>
    <w:rsid w:val="009B3C46"/>
    <w:rsid w:val="009B43BC"/>
    <w:rsid w:val="009B4CED"/>
    <w:rsid w:val="009B4DD7"/>
    <w:rsid w:val="009B5418"/>
    <w:rsid w:val="009B5AAC"/>
    <w:rsid w:val="009B5B17"/>
    <w:rsid w:val="009B6027"/>
    <w:rsid w:val="009B6905"/>
    <w:rsid w:val="009B73BE"/>
    <w:rsid w:val="009B7CC5"/>
    <w:rsid w:val="009B7DC3"/>
    <w:rsid w:val="009B7FFA"/>
    <w:rsid w:val="009C074C"/>
    <w:rsid w:val="009C2EA4"/>
    <w:rsid w:val="009C4629"/>
    <w:rsid w:val="009C479E"/>
    <w:rsid w:val="009C48D6"/>
    <w:rsid w:val="009C5274"/>
    <w:rsid w:val="009C5A68"/>
    <w:rsid w:val="009C5A6C"/>
    <w:rsid w:val="009C5B65"/>
    <w:rsid w:val="009C6259"/>
    <w:rsid w:val="009C6B34"/>
    <w:rsid w:val="009C6D76"/>
    <w:rsid w:val="009C7195"/>
    <w:rsid w:val="009C75A3"/>
    <w:rsid w:val="009C7BA0"/>
    <w:rsid w:val="009D015A"/>
    <w:rsid w:val="009D075A"/>
    <w:rsid w:val="009D0C7F"/>
    <w:rsid w:val="009D137F"/>
    <w:rsid w:val="009D22A4"/>
    <w:rsid w:val="009D32C9"/>
    <w:rsid w:val="009D4A7E"/>
    <w:rsid w:val="009D4EB3"/>
    <w:rsid w:val="009D6A30"/>
    <w:rsid w:val="009D7808"/>
    <w:rsid w:val="009D7F75"/>
    <w:rsid w:val="009E052C"/>
    <w:rsid w:val="009E1651"/>
    <w:rsid w:val="009E1D2D"/>
    <w:rsid w:val="009E26B9"/>
    <w:rsid w:val="009E2A69"/>
    <w:rsid w:val="009E3008"/>
    <w:rsid w:val="009E32C6"/>
    <w:rsid w:val="009E3D3D"/>
    <w:rsid w:val="009E5614"/>
    <w:rsid w:val="009E56F6"/>
    <w:rsid w:val="009E674A"/>
    <w:rsid w:val="009E7BE6"/>
    <w:rsid w:val="009E7C3D"/>
    <w:rsid w:val="009F0273"/>
    <w:rsid w:val="009F182F"/>
    <w:rsid w:val="009F37F8"/>
    <w:rsid w:val="009F3BE5"/>
    <w:rsid w:val="009F444C"/>
    <w:rsid w:val="009F4EE1"/>
    <w:rsid w:val="009F5926"/>
    <w:rsid w:val="009F6CA9"/>
    <w:rsid w:val="009F7484"/>
    <w:rsid w:val="009F7C5E"/>
    <w:rsid w:val="00A003C2"/>
    <w:rsid w:val="00A0077A"/>
    <w:rsid w:val="00A011B9"/>
    <w:rsid w:val="00A01556"/>
    <w:rsid w:val="00A02FEF"/>
    <w:rsid w:val="00A048EF"/>
    <w:rsid w:val="00A04DD7"/>
    <w:rsid w:val="00A04F51"/>
    <w:rsid w:val="00A04F5B"/>
    <w:rsid w:val="00A05487"/>
    <w:rsid w:val="00A05DB0"/>
    <w:rsid w:val="00A0614C"/>
    <w:rsid w:val="00A06AAA"/>
    <w:rsid w:val="00A06D5D"/>
    <w:rsid w:val="00A06F94"/>
    <w:rsid w:val="00A07069"/>
    <w:rsid w:val="00A07ABF"/>
    <w:rsid w:val="00A07EDA"/>
    <w:rsid w:val="00A10E84"/>
    <w:rsid w:val="00A110A0"/>
    <w:rsid w:val="00A12209"/>
    <w:rsid w:val="00A124BB"/>
    <w:rsid w:val="00A12548"/>
    <w:rsid w:val="00A128CB"/>
    <w:rsid w:val="00A12AE8"/>
    <w:rsid w:val="00A1442E"/>
    <w:rsid w:val="00A147C1"/>
    <w:rsid w:val="00A14ACA"/>
    <w:rsid w:val="00A15558"/>
    <w:rsid w:val="00A157DA"/>
    <w:rsid w:val="00A15D89"/>
    <w:rsid w:val="00A160DE"/>
    <w:rsid w:val="00A16437"/>
    <w:rsid w:val="00A164D2"/>
    <w:rsid w:val="00A16881"/>
    <w:rsid w:val="00A1772E"/>
    <w:rsid w:val="00A177D0"/>
    <w:rsid w:val="00A17A5A"/>
    <w:rsid w:val="00A200ED"/>
    <w:rsid w:val="00A20EBF"/>
    <w:rsid w:val="00A218DF"/>
    <w:rsid w:val="00A21B66"/>
    <w:rsid w:val="00A21DAF"/>
    <w:rsid w:val="00A22A91"/>
    <w:rsid w:val="00A2321D"/>
    <w:rsid w:val="00A2327F"/>
    <w:rsid w:val="00A232FD"/>
    <w:rsid w:val="00A2364E"/>
    <w:rsid w:val="00A23A9D"/>
    <w:rsid w:val="00A24389"/>
    <w:rsid w:val="00A244E0"/>
    <w:rsid w:val="00A24657"/>
    <w:rsid w:val="00A252CE"/>
    <w:rsid w:val="00A309D6"/>
    <w:rsid w:val="00A31A80"/>
    <w:rsid w:val="00A32042"/>
    <w:rsid w:val="00A32BBA"/>
    <w:rsid w:val="00A32CEF"/>
    <w:rsid w:val="00A337C2"/>
    <w:rsid w:val="00A33BF0"/>
    <w:rsid w:val="00A3463C"/>
    <w:rsid w:val="00A34B1D"/>
    <w:rsid w:val="00A36F9B"/>
    <w:rsid w:val="00A37F8B"/>
    <w:rsid w:val="00A40028"/>
    <w:rsid w:val="00A40912"/>
    <w:rsid w:val="00A42BDE"/>
    <w:rsid w:val="00A4371B"/>
    <w:rsid w:val="00A441ED"/>
    <w:rsid w:val="00A44B5B"/>
    <w:rsid w:val="00A455A3"/>
    <w:rsid w:val="00A4635B"/>
    <w:rsid w:val="00A46641"/>
    <w:rsid w:val="00A46731"/>
    <w:rsid w:val="00A46C09"/>
    <w:rsid w:val="00A47102"/>
    <w:rsid w:val="00A478D8"/>
    <w:rsid w:val="00A47E70"/>
    <w:rsid w:val="00A47EF3"/>
    <w:rsid w:val="00A50640"/>
    <w:rsid w:val="00A51795"/>
    <w:rsid w:val="00A51EF8"/>
    <w:rsid w:val="00A52ED3"/>
    <w:rsid w:val="00A532B7"/>
    <w:rsid w:val="00A5334E"/>
    <w:rsid w:val="00A53458"/>
    <w:rsid w:val="00A53BD1"/>
    <w:rsid w:val="00A542DF"/>
    <w:rsid w:val="00A54739"/>
    <w:rsid w:val="00A54808"/>
    <w:rsid w:val="00A54827"/>
    <w:rsid w:val="00A55E1A"/>
    <w:rsid w:val="00A56D34"/>
    <w:rsid w:val="00A56D61"/>
    <w:rsid w:val="00A56D9C"/>
    <w:rsid w:val="00A5748A"/>
    <w:rsid w:val="00A57A91"/>
    <w:rsid w:val="00A60B47"/>
    <w:rsid w:val="00A6150E"/>
    <w:rsid w:val="00A615CC"/>
    <w:rsid w:val="00A621FF"/>
    <w:rsid w:val="00A628A2"/>
    <w:rsid w:val="00A62955"/>
    <w:rsid w:val="00A62DB2"/>
    <w:rsid w:val="00A63754"/>
    <w:rsid w:val="00A6422A"/>
    <w:rsid w:val="00A65399"/>
    <w:rsid w:val="00A6593E"/>
    <w:rsid w:val="00A65B25"/>
    <w:rsid w:val="00A66172"/>
    <w:rsid w:val="00A662C2"/>
    <w:rsid w:val="00A6664F"/>
    <w:rsid w:val="00A70B67"/>
    <w:rsid w:val="00A71158"/>
    <w:rsid w:val="00A717D2"/>
    <w:rsid w:val="00A719B4"/>
    <w:rsid w:val="00A71E29"/>
    <w:rsid w:val="00A73336"/>
    <w:rsid w:val="00A73E57"/>
    <w:rsid w:val="00A74F06"/>
    <w:rsid w:val="00A75249"/>
    <w:rsid w:val="00A75434"/>
    <w:rsid w:val="00A75DFB"/>
    <w:rsid w:val="00A75EE3"/>
    <w:rsid w:val="00A76095"/>
    <w:rsid w:val="00A76B64"/>
    <w:rsid w:val="00A8097A"/>
    <w:rsid w:val="00A83B94"/>
    <w:rsid w:val="00A84223"/>
    <w:rsid w:val="00A84AF0"/>
    <w:rsid w:val="00A85DAD"/>
    <w:rsid w:val="00A87657"/>
    <w:rsid w:val="00A8791C"/>
    <w:rsid w:val="00A90A79"/>
    <w:rsid w:val="00A91F24"/>
    <w:rsid w:val="00A920AA"/>
    <w:rsid w:val="00A922D6"/>
    <w:rsid w:val="00A93841"/>
    <w:rsid w:val="00A93A48"/>
    <w:rsid w:val="00A93B09"/>
    <w:rsid w:val="00A93B9C"/>
    <w:rsid w:val="00A941DD"/>
    <w:rsid w:val="00A94797"/>
    <w:rsid w:val="00A94CDF"/>
    <w:rsid w:val="00A94D9A"/>
    <w:rsid w:val="00A94E60"/>
    <w:rsid w:val="00A94EBD"/>
    <w:rsid w:val="00A957A9"/>
    <w:rsid w:val="00A95A40"/>
    <w:rsid w:val="00A95DCC"/>
    <w:rsid w:val="00A9661E"/>
    <w:rsid w:val="00A97D71"/>
    <w:rsid w:val="00AA1480"/>
    <w:rsid w:val="00AA1F5B"/>
    <w:rsid w:val="00AA25A5"/>
    <w:rsid w:val="00AA2F07"/>
    <w:rsid w:val="00AA3956"/>
    <w:rsid w:val="00AA397F"/>
    <w:rsid w:val="00AA44AE"/>
    <w:rsid w:val="00AA4941"/>
    <w:rsid w:val="00AA4BED"/>
    <w:rsid w:val="00AA701B"/>
    <w:rsid w:val="00AA7E63"/>
    <w:rsid w:val="00AB015F"/>
    <w:rsid w:val="00AB0354"/>
    <w:rsid w:val="00AB063B"/>
    <w:rsid w:val="00AB099C"/>
    <w:rsid w:val="00AB1133"/>
    <w:rsid w:val="00AB1572"/>
    <w:rsid w:val="00AB22A8"/>
    <w:rsid w:val="00AB2D9F"/>
    <w:rsid w:val="00AB335A"/>
    <w:rsid w:val="00AB4C87"/>
    <w:rsid w:val="00AB4F1F"/>
    <w:rsid w:val="00AB50F0"/>
    <w:rsid w:val="00AB558C"/>
    <w:rsid w:val="00AB5C55"/>
    <w:rsid w:val="00AB5F2D"/>
    <w:rsid w:val="00AB6004"/>
    <w:rsid w:val="00AB64F2"/>
    <w:rsid w:val="00AB663A"/>
    <w:rsid w:val="00AB6BBD"/>
    <w:rsid w:val="00AB6C11"/>
    <w:rsid w:val="00AB72DF"/>
    <w:rsid w:val="00AC2F47"/>
    <w:rsid w:val="00AC3C68"/>
    <w:rsid w:val="00AC51C4"/>
    <w:rsid w:val="00AC5C4F"/>
    <w:rsid w:val="00AC5D2E"/>
    <w:rsid w:val="00AC628A"/>
    <w:rsid w:val="00AC6E38"/>
    <w:rsid w:val="00AC774E"/>
    <w:rsid w:val="00AD03D2"/>
    <w:rsid w:val="00AD0966"/>
    <w:rsid w:val="00AD190B"/>
    <w:rsid w:val="00AD1A9D"/>
    <w:rsid w:val="00AD1D96"/>
    <w:rsid w:val="00AD1F7F"/>
    <w:rsid w:val="00AD2021"/>
    <w:rsid w:val="00AD2221"/>
    <w:rsid w:val="00AD31F6"/>
    <w:rsid w:val="00AD34DF"/>
    <w:rsid w:val="00AD3698"/>
    <w:rsid w:val="00AD4B3A"/>
    <w:rsid w:val="00AD4F3E"/>
    <w:rsid w:val="00AD5105"/>
    <w:rsid w:val="00AD57D2"/>
    <w:rsid w:val="00AD716D"/>
    <w:rsid w:val="00AD77DC"/>
    <w:rsid w:val="00AE012A"/>
    <w:rsid w:val="00AE0B9E"/>
    <w:rsid w:val="00AE0CD6"/>
    <w:rsid w:val="00AE15FC"/>
    <w:rsid w:val="00AE1BA6"/>
    <w:rsid w:val="00AE1F23"/>
    <w:rsid w:val="00AE22F4"/>
    <w:rsid w:val="00AE2454"/>
    <w:rsid w:val="00AE24E0"/>
    <w:rsid w:val="00AE34EC"/>
    <w:rsid w:val="00AE379B"/>
    <w:rsid w:val="00AE4E02"/>
    <w:rsid w:val="00AE6621"/>
    <w:rsid w:val="00AE6E2E"/>
    <w:rsid w:val="00AE7833"/>
    <w:rsid w:val="00AE7878"/>
    <w:rsid w:val="00AF0129"/>
    <w:rsid w:val="00AF1B1F"/>
    <w:rsid w:val="00AF2830"/>
    <w:rsid w:val="00AF36EE"/>
    <w:rsid w:val="00AF3846"/>
    <w:rsid w:val="00AF3BFE"/>
    <w:rsid w:val="00AF3FEF"/>
    <w:rsid w:val="00AF457D"/>
    <w:rsid w:val="00AF45FB"/>
    <w:rsid w:val="00AF4D93"/>
    <w:rsid w:val="00AF513F"/>
    <w:rsid w:val="00AF5670"/>
    <w:rsid w:val="00AF5A1B"/>
    <w:rsid w:val="00AF6E01"/>
    <w:rsid w:val="00AF7D90"/>
    <w:rsid w:val="00AF7EDB"/>
    <w:rsid w:val="00B007CE"/>
    <w:rsid w:val="00B00CBA"/>
    <w:rsid w:val="00B00D5A"/>
    <w:rsid w:val="00B02E9A"/>
    <w:rsid w:val="00B03C18"/>
    <w:rsid w:val="00B03DE8"/>
    <w:rsid w:val="00B0516C"/>
    <w:rsid w:val="00B0594D"/>
    <w:rsid w:val="00B06263"/>
    <w:rsid w:val="00B062FD"/>
    <w:rsid w:val="00B06DCD"/>
    <w:rsid w:val="00B107BC"/>
    <w:rsid w:val="00B10DE0"/>
    <w:rsid w:val="00B117C5"/>
    <w:rsid w:val="00B12052"/>
    <w:rsid w:val="00B1217C"/>
    <w:rsid w:val="00B1249E"/>
    <w:rsid w:val="00B13130"/>
    <w:rsid w:val="00B13EB9"/>
    <w:rsid w:val="00B14652"/>
    <w:rsid w:val="00B14FD4"/>
    <w:rsid w:val="00B153EF"/>
    <w:rsid w:val="00B15F60"/>
    <w:rsid w:val="00B16449"/>
    <w:rsid w:val="00B164BB"/>
    <w:rsid w:val="00B16A69"/>
    <w:rsid w:val="00B1708F"/>
    <w:rsid w:val="00B20C18"/>
    <w:rsid w:val="00B22961"/>
    <w:rsid w:val="00B2333F"/>
    <w:rsid w:val="00B24B60"/>
    <w:rsid w:val="00B24B9C"/>
    <w:rsid w:val="00B26C08"/>
    <w:rsid w:val="00B26CC7"/>
    <w:rsid w:val="00B27A06"/>
    <w:rsid w:val="00B27EE4"/>
    <w:rsid w:val="00B30535"/>
    <w:rsid w:val="00B306DF"/>
    <w:rsid w:val="00B30E91"/>
    <w:rsid w:val="00B3186A"/>
    <w:rsid w:val="00B323A4"/>
    <w:rsid w:val="00B326EA"/>
    <w:rsid w:val="00B32B00"/>
    <w:rsid w:val="00B33169"/>
    <w:rsid w:val="00B33AAA"/>
    <w:rsid w:val="00B366C9"/>
    <w:rsid w:val="00B36B68"/>
    <w:rsid w:val="00B36EF3"/>
    <w:rsid w:val="00B36F3A"/>
    <w:rsid w:val="00B37482"/>
    <w:rsid w:val="00B374DE"/>
    <w:rsid w:val="00B3764A"/>
    <w:rsid w:val="00B3786D"/>
    <w:rsid w:val="00B400E6"/>
    <w:rsid w:val="00B40132"/>
    <w:rsid w:val="00B40429"/>
    <w:rsid w:val="00B40FAD"/>
    <w:rsid w:val="00B413BC"/>
    <w:rsid w:val="00B41741"/>
    <w:rsid w:val="00B41C06"/>
    <w:rsid w:val="00B41E18"/>
    <w:rsid w:val="00B42D0E"/>
    <w:rsid w:val="00B42D2B"/>
    <w:rsid w:val="00B431E3"/>
    <w:rsid w:val="00B4384F"/>
    <w:rsid w:val="00B43EA1"/>
    <w:rsid w:val="00B440A6"/>
    <w:rsid w:val="00B4468E"/>
    <w:rsid w:val="00B44C55"/>
    <w:rsid w:val="00B4601E"/>
    <w:rsid w:val="00B465CE"/>
    <w:rsid w:val="00B469AB"/>
    <w:rsid w:val="00B47058"/>
    <w:rsid w:val="00B47213"/>
    <w:rsid w:val="00B476B9"/>
    <w:rsid w:val="00B479A9"/>
    <w:rsid w:val="00B503C7"/>
    <w:rsid w:val="00B50C11"/>
    <w:rsid w:val="00B51166"/>
    <w:rsid w:val="00B5143A"/>
    <w:rsid w:val="00B5184C"/>
    <w:rsid w:val="00B51F21"/>
    <w:rsid w:val="00B520F2"/>
    <w:rsid w:val="00B5236A"/>
    <w:rsid w:val="00B52878"/>
    <w:rsid w:val="00B52CEC"/>
    <w:rsid w:val="00B52D93"/>
    <w:rsid w:val="00B52FA6"/>
    <w:rsid w:val="00B53135"/>
    <w:rsid w:val="00B54701"/>
    <w:rsid w:val="00B54810"/>
    <w:rsid w:val="00B54D85"/>
    <w:rsid w:val="00B55DD7"/>
    <w:rsid w:val="00B56DC0"/>
    <w:rsid w:val="00B5705C"/>
    <w:rsid w:val="00B605B8"/>
    <w:rsid w:val="00B608BD"/>
    <w:rsid w:val="00B6091A"/>
    <w:rsid w:val="00B60A42"/>
    <w:rsid w:val="00B60CF1"/>
    <w:rsid w:val="00B611E4"/>
    <w:rsid w:val="00B6231D"/>
    <w:rsid w:val="00B62D8D"/>
    <w:rsid w:val="00B63178"/>
    <w:rsid w:val="00B63D68"/>
    <w:rsid w:val="00B63E5C"/>
    <w:rsid w:val="00B63E6A"/>
    <w:rsid w:val="00B64D54"/>
    <w:rsid w:val="00B6529B"/>
    <w:rsid w:val="00B6564F"/>
    <w:rsid w:val="00B65B43"/>
    <w:rsid w:val="00B65C83"/>
    <w:rsid w:val="00B65D8C"/>
    <w:rsid w:val="00B65FB0"/>
    <w:rsid w:val="00B67301"/>
    <w:rsid w:val="00B67908"/>
    <w:rsid w:val="00B67B09"/>
    <w:rsid w:val="00B70448"/>
    <w:rsid w:val="00B71BAC"/>
    <w:rsid w:val="00B72F73"/>
    <w:rsid w:val="00B72FFF"/>
    <w:rsid w:val="00B73473"/>
    <w:rsid w:val="00B739E8"/>
    <w:rsid w:val="00B745F7"/>
    <w:rsid w:val="00B74674"/>
    <w:rsid w:val="00B757FD"/>
    <w:rsid w:val="00B75E18"/>
    <w:rsid w:val="00B7721F"/>
    <w:rsid w:val="00B8007E"/>
    <w:rsid w:val="00B8038E"/>
    <w:rsid w:val="00B80913"/>
    <w:rsid w:val="00B81FE4"/>
    <w:rsid w:val="00B821CF"/>
    <w:rsid w:val="00B83AD3"/>
    <w:rsid w:val="00B8442E"/>
    <w:rsid w:val="00B84C2A"/>
    <w:rsid w:val="00B84D27"/>
    <w:rsid w:val="00B85835"/>
    <w:rsid w:val="00B858A6"/>
    <w:rsid w:val="00B858DE"/>
    <w:rsid w:val="00B85992"/>
    <w:rsid w:val="00B85AD6"/>
    <w:rsid w:val="00B85E4A"/>
    <w:rsid w:val="00B86227"/>
    <w:rsid w:val="00B86279"/>
    <w:rsid w:val="00B86C8C"/>
    <w:rsid w:val="00B8734E"/>
    <w:rsid w:val="00B909D0"/>
    <w:rsid w:val="00B90C40"/>
    <w:rsid w:val="00B91891"/>
    <w:rsid w:val="00B91AC8"/>
    <w:rsid w:val="00B92CDA"/>
    <w:rsid w:val="00B92E78"/>
    <w:rsid w:val="00B9359B"/>
    <w:rsid w:val="00B9369B"/>
    <w:rsid w:val="00B937FA"/>
    <w:rsid w:val="00B954DB"/>
    <w:rsid w:val="00B95619"/>
    <w:rsid w:val="00B95896"/>
    <w:rsid w:val="00B960E1"/>
    <w:rsid w:val="00B968E7"/>
    <w:rsid w:val="00B96B52"/>
    <w:rsid w:val="00B97736"/>
    <w:rsid w:val="00B97D75"/>
    <w:rsid w:val="00BA2253"/>
    <w:rsid w:val="00BA2FD0"/>
    <w:rsid w:val="00BA3BEA"/>
    <w:rsid w:val="00BA3C04"/>
    <w:rsid w:val="00BA4940"/>
    <w:rsid w:val="00BA5401"/>
    <w:rsid w:val="00BA549F"/>
    <w:rsid w:val="00BA6216"/>
    <w:rsid w:val="00BA6799"/>
    <w:rsid w:val="00BA6C59"/>
    <w:rsid w:val="00BB0304"/>
    <w:rsid w:val="00BB058C"/>
    <w:rsid w:val="00BB0606"/>
    <w:rsid w:val="00BB0FF7"/>
    <w:rsid w:val="00BB1345"/>
    <w:rsid w:val="00BB1A04"/>
    <w:rsid w:val="00BB23BD"/>
    <w:rsid w:val="00BB2703"/>
    <w:rsid w:val="00BB285B"/>
    <w:rsid w:val="00BB2C22"/>
    <w:rsid w:val="00BB2C62"/>
    <w:rsid w:val="00BB39F5"/>
    <w:rsid w:val="00BB3DF9"/>
    <w:rsid w:val="00BB4581"/>
    <w:rsid w:val="00BB4F95"/>
    <w:rsid w:val="00BB5246"/>
    <w:rsid w:val="00BC03C6"/>
    <w:rsid w:val="00BC0A35"/>
    <w:rsid w:val="00BC0AF4"/>
    <w:rsid w:val="00BC1745"/>
    <w:rsid w:val="00BC20A5"/>
    <w:rsid w:val="00BC2B15"/>
    <w:rsid w:val="00BC2BD1"/>
    <w:rsid w:val="00BC324E"/>
    <w:rsid w:val="00BC33D5"/>
    <w:rsid w:val="00BC4A20"/>
    <w:rsid w:val="00BC4A6B"/>
    <w:rsid w:val="00BC4E45"/>
    <w:rsid w:val="00BC524E"/>
    <w:rsid w:val="00BC70BB"/>
    <w:rsid w:val="00BC73C9"/>
    <w:rsid w:val="00BC7885"/>
    <w:rsid w:val="00BD004E"/>
    <w:rsid w:val="00BD0146"/>
    <w:rsid w:val="00BD065B"/>
    <w:rsid w:val="00BD107F"/>
    <w:rsid w:val="00BD1499"/>
    <w:rsid w:val="00BD20BC"/>
    <w:rsid w:val="00BD238F"/>
    <w:rsid w:val="00BD2451"/>
    <w:rsid w:val="00BD3268"/>
    <w:rsid w:val="00BD3546"/>
    <w:rsid w:val="00BD3697"/>
    <w:rsid w:val="00BD3BD5"/>
    <w:rsid w:val="00BD42A4"/>
    <w:rsid w:val="00BD445D"/>
    <w:rsid w:val="00BD5924"/>
    <w:rsid w:val="00BD605B"/>
    <w:rsid w:val="00BD619C"/>
    <w:rsid w:val="00BE087E"/>
    <w:rsid w:val="00BE0988"/>
    <w:rsid w:val="00BE149F"/>
    <w:rsid w:val="00BE2554"/>
    <w:rsid w:val="00BE2C9A"/>
    <w:rsid w:val="00BE2E04"/>
    <w:rsid w:val="00BE3601"/>
    <w:rsid w:val="00BE52D3"/>
    <w:rsid w:val="00BE5435"/>
    <w:rsid w:val="00BE6EEE"/>
    <w:rsid w:val="00BE7061"/>
    <w:rsid w:val="00BE710D"/>
    <w:rsid w:val="00BE7757"/>
    <w:rsid w:val="00BE791B"/>
    <w:rsid w:val="00BE7F46"/>
    <w:rsid w:val="00BF23C2"/>
    <w:rsid w:val="00BF2B75"/>
    <w:rsid w:val="00BF304C"/>
    <w:rsid w:val="00BF31FC"/>
    <w:rsid w:val="00BF3F3D"/>
    <w:rsid w:val="00BF4183"/>
    <w:rsid w:val="00BF4AC7"/>
    <w:rsid w:val="00BF4B2C"/>
    <w:rsid w:val="00BF6AE1"/>
    <w:rsid w:val="00BF7DA3"/>
    <w:rsid w:val="00C00044"/>
    <w:rsid w:val="00C0032E"/>
    <w:rsid w:val="00C0117E"/>
    <w:rsid w:val="00C011FB"/>
    <w:rsid w:val="00C01528"/>
    <w:rsid w:val="00C01DA1"/>
    <w:rsid w:val="00C02BA2"/>
    <w:rsid w:val="00C05A0C"/>
    <w:rsid w:val="00C05BC0"/>
    <w:rsid w:val="00C05F4B"/>
    <w:rsid w:val="00C06A69"/>
    <w:rsid w:val="00C06B47"/>
    <w:rsid w:val="00C070A8"/>
    <w:rsid w:val="00C07871"/>
    <w:rsid w:val="00C078C9"/>
    <w:rsid w:val="00C07931"/>
    <w:rsid w:val="00C07F82"/>
    <w:rsid w:val="00C1018B"/>
    <w:rsid w:val="00C10969"/>
    <w:rsid w:val="00C10B5F"/>
    <w:rsid w:val="00C10C45"/>
    <w:rsid w:val="00C116C7"/>
    <w:rsid w:val="00C1301E"/>
    <w:rsid w:val="00C131DE"/>
    <w:rsid w:val="00C13204"/>
    <w:rsid w:val="00C147CA"/>
    <w:rsid w:val="00C14F4C"/>
    <w:rsid w:val="00C16148"/>
    <w:rsid w:val="00C1752B"/>
    <w:rsid w:val="00C2024D"/>
    <w:rsid w:val="00C21151"/>
    <w:rsid w:val="00C21372"/>
    <w:rsid w:val="00C21BA1"/>
    <w:rsid w:val="00C21C21"/>
    <w:rsid w:val="00C21F27"/>
    <w:rsid w:val="00C24BF6"/>
    <w:rsid w:val="00C254DA"/>
    <w:rsid w:val="00C25ABA"/>
    <w:rsid w:val="00C25AE6"/>
    <w:rsid w:val="00C264E4"/>
    <w:rsid w:val="00C2651C"/>
    <w:rsid w:val="00C26EF4"/>
    <w:rsid w:val="00C27C44"/>
    <w:rsid w:val="00C3017D"/>
    <w:rsid w:val="00C307F1"/>
    <w:rsid w:val="00C312EE"/>
    <w:rsid w:val="00C32D21"/>
    <w:rsid w:val="00C32DF5"/>
    <w:rsid w:val="00C33569"/>
    <w:rsid w:val="00C3356C"/>
    <w:rsid w:val="00C337BC"/>
    <w:rsid w:val="00C35050"/>
    <w:rsid w:val="00C354FB"/>
    <w:rsid w:val="00C36E27"/>
    <w:rsid w:val="00C37619"/>
    <w:rsid w:val="00C37B65"/>
    <w:rsid w:val="00C4005B"/>
    <w:rsid w:val="00C412A5"/>
    <w:rsid w:val="00C41A82"/>
    <w:rsid w:val="00C41D33"/>
    <w:rsid w:val="00C4209B"/>
    <w:rsid w:val="00C42390"/>
    <w:rsid w:val="00C42908"/>
    <w:rsid w:val="00C43218"/>
    <w:rsid w:val="00C43618"/>
    <w:rsid w:val="00C446F1"/>
    <w:rsid w:val="00C44B3C"/>
    <w:rsid w:val="00C45595"/>
    <w:rsid w:val="00C45F3D"/>
    <w:rsid w:val="00C46C3D"/>
    <w:rsid w:val="00C46F4A"/>
    <w:rsid w:val="00C46FAA"/>
    <w:rsid w:val="00C47091"/>
    <w:rsid w:val="00C477E5"/>
    <w:rsid w:val="00C47B67"/>
    <w:rsid w:val="00C503B7"/>
    <w:rsid w:val="00C503C6"/>
    <w:rsid w:val="00C503EA"/>
    <w:rsid w:val="00C508C7"/>
    <w:rsid w:val="00C51530"/>
    <w:rsid w:val="00C52E75"/>
    <w:rsid w:val="00C53BC6"/>
    <w:rsid w:val="00C54D70"/>
    <w:rsid w:val="00C55648"/>
    <w:rsid w:val="00C56DA4"/>
    <w:rsid w:val="00C56FD6"/>
    <w:rsid w:val="00C57F2E"/>
    <w:rsid w:val="00C605AF"/>
    <w:rsid w:val="00C609D8"/>
    <w:rsid w:val="00C60CDE"/>
    <w:rsid w:val="00C60D08"/>
    <w:rsid w:val="00C61040"/>
    <w:rsid w:val="00C614BA"/>
    <w:rsid w:val="00C6254D"/>
    <w:rsid w:val="00C62568"/>
    <w:rsid w:val="00C625FF"/>
    <w:rsid w:val="00C6280D"/>
    <w:rsid w:val="00C65B94"/>
    <w:rsid w:val="00C665CB"/>
    <w:rsid w:val="00C670DE"/>
    <w:rsid w:val="00C674C1"/>
    <w:rsid w:val="00C678E9"/>
    <w:rsid w:val="00C70328"/>
    <w:rsid w:val="00C707D7"/>
    <w:rsid w:val="00C70C5F"/>
    <w:rsid w:val="00C71F01"/>
    <w:rsid w:val="00C72925"/>
    <w:rsid w:val="00C75F50"/>
    <w:rsid w:val="00C7600E"/>
    <w:rsid w:val="00C7605D"/>
    <w:rsid w:val="00C76396"/>
    <w:rsid w:val="00C76745"/>
    <w:rsid w:val="00C7682C"/>
    <w:rsid w:val="00C80B1E"/>
    <w:rsid w:val="00C80FA4"/>
    <w:rsid w:val="00C81090"/>
    <w:rsid w:val="00C825B0"/>
    <w:rsid w:val="00C85E07"/>
    <w:rsid w:val="00C864F5"/>
    <w:rsid w:val="00C8742B"/>
    <w:rsid w:val="00C90C4E"/>
    <w:rsid w:val="00C910BD"/>
    <w:rsid w:val="00C92A52"/>
    <w:rsid w:val="00C93872"/>
    <w:rsid w:val="00C944AA"/>
    <w:rsid w:val="00C9491F"/>
    <w:rsid w:val="00C95AFE"/>
    <w:rsid w:val="00C96131"/>
    <w:rsid w:val="00C97E7C"/>
    <w:rsid w:val="00CA06D1"/>
    <w:rsid w:val="00CA143D"/>
    <w:rsid w:val="00CA2407"/>
    <w:rsid w:val="00CA283F"/>
    <w:rsid w:val="00CA55B9"/>
    <w:rsid w:val="00CA5F43"/>
    <w:rsid w:val="00CA6DAA"/>
    <w:rsid w:val="00CA79FF"/>
    <w:rsid w:val="00CB0046"/>
    <w:rsid w:val="00CB0433"/>
    <w:rsid w:val="00CB1277"/>
    <w:rsid w:val="00CB225B"/>
    <w:rsid w:val="00CB2312"/>
    <w:rsid w:val="00CB340B"/>
    <w:rsid w:val="00CB3452"/>
    <w:rsid w:val="00CB3CA0"/>
    <w:rsid w:val="00CB513A"/>
    <w:rsid w:val="00CB59D6"/>
    <w:rsid w:val="00CB5A6B"/>
    <w:rsid w:val="00CB6075"/>
    <w:rsid w:val="00CB6A20"/>
    <w:rsid w:val="00CB6D9C"/>
    <w:rsid w:val="00CB7223"/>
    <w:rsid w:val="00CB7617"/>
    <w:rsid w:val="00CB7B61"/>
    <w:rsid w:val="00CC092B"/>
    <w:rsid w:val="00CC1075"/>
    <w:rsid w:val="00CC243A"/>
    <w:rsid w:val="00CC293D"/>
    <w:rsid w:val="00CC3528"/>
    <w:rsid w:val="00CC3E4C"/>
    <w:rsid w:val="00CC52DE"/>
    <w:rsid w:val="00CC5504"/>
    <w:rsid w:val="00CC5E4F"/>
    <w:rsid w:val="00CC66B4"/>
    <w:rsid w:val="00CC706D"/>
    <w:rsid w:val="00CC7518"/>
    <w:rsid w:val="00CC77A2"/>
    <w:rsid w:val="00CC7F11"/>
    <w:rsid w:val="00CD0E1C"/>
    <w:rsid w:val="00CD0F8C"/>
    <w:rsid w:val="00CD233F"/>
    <w:rsid w:val="00CD26F3"/>
    <w:rsid w:val="00CD2B4C"/>
    <w:rsid w:val="00CD2D83"/>
    <w:rsid w:val="00CD37A4"/>
    <w:rsid w:val="00CD3CB6"/>
    <w:rsid w:val="00CD3D87"/>
    <w:rsid w:val="00CD3D9F"/>
    <w:rsid w:val="00CD4265"/>
    <w:rsid w:val="00CD61BC"/>
    <w:rsid w:val="00CD697A"/>
    <w:rsid w:val="00CD6B53"/>
    <w:rsid w:val="00CD7BEC"/>
    <w:rsid w:val="00CD7F8F"/>
    <w:rsid w:val="00CE1FC3"/>
    <w:rsid w:val="00CE1FDF"/>
    <w:rsid w:val="00CE20C1"/>
    <w:rsid w:val="00CE291B"/>
    <w:rsid w:val="00CE37C9"/>
    <w:rsid w:val="00CE38EA"/>
    <w:rsid w:val="00CE42E2"/>
    <w:rsid w:val="00CE441C"/>
    <w:rsid w:val="00CE50E6"/>
    <w:rsid w:val="00CE5EEE"/>
    <w:rsid w:val="00CE60C8"/>
    <w:rsid w:val="00CE67E1"/>
    <w:rsid w:val="00CE77B4"/>
    <w:rsid w:val="00CF06E3"/>
    <w:rsid w:val="00CF0AC2"/>
    <w:rsid w:val="00CF29D0"/>
    <w:rsid w:val="00CF3091"/>
    <w:rsid w:val="00CF42F2"/>
    <w:rsid w:val="00CF492A"/>
    <w:rsid w:val="00CF4953"/>
    <w:rsid w:val="00CF5405"/>
    <w:rsid w:val="00CF5796"/>
    <w:rsid w:val="00CF7615"/>
    <w:rsid w:val="00CF7A45"/>
    <w:rsid w:val="00D00193"/>
    <w:rsid w:val="00D0131D"/>
    <w:rsid w:val="00D0183D"/>
    <w:rsid w:val="00D02813"/>
    <w:rsid w:val="00D02BE0"/>
    <w:rsid w:val="00D03247"/>
    <w:rsid w:val="00D034F8"/>
    <w:rsid w:val="00D035DB"/>
    <w:rsid w:val="00D03658"/>
    <w:rsid w:val="00D045FA"/>
    <w:rsid w:val="00D046B6"/>
    <w:rsid w:val="00D049D2"/>
    <w:rsid w:val="00D05B84"/>
    <w:rsid w:val="00D066E2"/>
    <w:rsid w:val="00D06D1A"/>
    <w:rsid w:val="00D1011C"/>
    <w:rsid w:val="00D10A29"/>
    <w:rsid w:val="00D10C5E"/>
    <w:rsid w:val="00D10D29"/>
    <w:rsid w:val="00D112FC"/>
    <w:rsid w:val="00D11A58"/>
    <w:rsid w:val="00D12B74"/>
    <w:rsid w:val="00D13327"/>
    <w:rsid w:val="00D13567"/>
    <w:rsid w:val="00D14431"/>
    <w:rsid w:val="00D14ABB"/>
    <w:rsid w:val="00D1502E"/>
    <w:rsid w:val="00D154F6"/>
    <w:rsid w:val="00D156E1"/>
    <w:rsid w:val="00D15AEC"/>
    <w:rsid w:val="00D16CFA"/>
    <w:rsid w:val="00D20087"/>
    <w:rsid w:val="00D209EC"/>
    <w:rsid w:val="00D217F2"/>
    <w:rsid w:val="00D229AC"/>
    <w:rsid w:val="00D22BFF"/>
    <w:rsid w:val="00D22C20"/>
    <w:rsid w:val="00D23672"/>
    <w:rsid w:val="00D23E41"/>
    <w:rsid w:val="00D250FF"/>
    <w:rsid w:val="00D26163"/>
    <w:rsid w:val="00D26200"/>
    <w:rsid w:val="00D26302"/>
    <w:rsid w:val="00D26932"/>
    <w:rsid w:val="00D27D7E"/>
    <w:rsid w:val="00D308C8"/>
    <w:rsid w:val="00D30902"/>
    <w:rsid w:val="00D30908"/>
    <w:rsid w:val="00D30BDA"/>
    <w:rsid w:val="00D30F22"/>
    <w:rsid w:val="00D3239D"/>
    <w:rsid w:val="00D32F2C"/>
    <w:rsid w:val="00D3455F"/>
    <w:rsid w:val="00D35B03"/>
    <w:rsid w:val="00D361DA"/>
    <w:rsid w:val="00D36A27"/>
    <w:rsid w:val="00D40155"/>
    <w:rsid w:val="00D401AC"/>
    <w:rsid w:val="00D40406"/>
    <w:rsid w:val="00D4102D"/>
    <w:rsid w:val="00D427C5"/>
    <w:rsid w:val="00D4302C"/>
    <w:rsid w:val="00D43052"/>
    <w:rsid w:val="00D4319F"/>
    <w:rsid w:val="00D43D81"/>
    <w:rsid w:val="00D440A7"/>
    <w:rsid w:val="00D443E7"/>
    <w:rsid w:val="00D444FE"/>
    <w:rsid w:val="00D45553"/>
    <w:rsid w:val="00D45917"/>
    <w:rsid w:val="00D45FF9"/>
    <w:rsid w:val="00D462A0"/>
    <w:rsid w:val="00D466E6"/>
    <w:rsid w:val="00D466E9"/>
    <w:rsid w:val="00D46856"/>
    <w:rsid w:val="00D46A1A"/>
    <w:rsid w:val="00D46A96"/>
    <w:rsid w:val="00D50F2C"/>
    <w:rsid w:val="00D50FE8"/>
    <w:rsid w:val="00D51D33"/>
    <w:rsid w:val="00D5247C"/>
    <w:rsid w:val="00D52BCF"/>
    <w:rsid w:val="00D538C6"/>
    <w:rsid w:val="00D5393E"/>
    <w:rsid w:val="00D53B91"/>
    <w:rsid w:val="00D54240"/>
    <w:rsid w:val="00D54647"/>
    <w:rsid w:val="00D54D17"/>
    <w:rsid w:val="00D565EE"/>
    <w:rsid w:val="00D56778"/>
    <w:rsid w:val="00D56883"/>
    <w:rsid w:val="00D569A2"/>
    <w:rsid w:val="00D57BAA"/>
    <w:rsid w:val="00D60569"/>
    <w:rsid w:val="00D60B8D"/>
    <w:rsid w:val="00D60BE8"/>
    <w:rsid w:val="00D6124D"/>
    <w:rsid w:val="00D6169F"/>
    <w:rsid w:val="00D6188A"/>
    <w:rsid w:val="00D62191"/>
    <w:rsid w:val="00D62815"/>
    <w:rsid w:val="00D62822"/>
    <w:rsid w:val="00D62EDA"/>
    <w:rsid w:val="00D637E0"/>
    <w:rsid w:val="00D63ACE"/>
    <w:rsid w:val="00D63E53"/>
    <w:rsid w:val="00D641ED"/>
    <w:rsid w:val="00D667D6"/>
    <w:rsid w:val="00D70426"/>
    <w:rsid w:val="00D70944"/>
    <w:rsid w:val="00D709C0"/>
    <w:rsid w:val="00D70B1F"/>
    <w:rsid w:val="00D70F75"/>
    <w:rsid w:val="00D7208E"/>
    <w:rsid w:val="00D7255A"/>
    <w:rsid w:val="00D735F6"/>
    <w:rsid w:val="00D73939"/>
    <w:rsid w:val="00D74088"/>
    <w:rsid w:val="00D7515C"/>
    <w:rsid w:val="00D75429"/>
    <w:rsid w:val="00D75484"/>
    <w:rsid w:val="00D75715"/>
    <w:rsid w:val="00D75CAE"/>
    <w:rsid w:val="00D75CC1"/>
    <w:rsid w:val="00D761D6"/>
    <w:rsid w:val="00D762C1"/>
    <w:rsid w:val="00D76D7A"/>
    <w:rsid w:val="00D773CA"/>
    <w:rsid w:val="00D774F7"/>
    <w:rsid w:val="00D77962"/>
    <w:rsid w:val="00D80721"/>
    <w:rsid w:val="00D80AA0"/>
    <w:rsid w:val="00D81F4F"/>
    <w:rsid w:val="00D8210D"/>
    <w:rsid w:val="00D83010"/>
    <w:rsid w:val="00D83033"/>
    <w:rsid w:val="00D84152"/>
    <w:rsid w:val="00D85828"/>
    <w:rsid w:val="00D85E89"/>
    <w:rsid w:val="00D86ED0"/>
    <w:rsid w:val="00D90620"/>
    <w:rsid w:val="00D9133B"/>
    <w:rsid w:val="00D9179E"/>
    <w:rsid w:val="00D9198A"/>
    <w:rsid w:val="00D93806"/>
    <w:rsid w:val="00D94276"/>
    <w:rsid w:val="00D94D2A"/>
    <w:rsid w:val="00D9526B"/>
    <w:rsid w:val="00D962B7"/>
    <w:rsid w:val="00D9722F"/>
    <w:rsid w:val="00DA1358"/>
    <w:rsid w:val="00DA1AF1"/>
    <w:rsid w:val="00DA2060"/>
    <w:rsid w:val="00DA258F"/>
    <w:rsid w:val="00DA3517"/>
    <w:rsid w:val="00DA5818"/>
    <w:rsid w:val="00DA60C4"/>
    <w:rsid w:val="00DA66BA"/>
    <w:rsid w:val="00DA694F"/>
    <w:rsid w:val="00DA6B4C"/>
    <w:rsid w:val="00DA7D7A"/>
    <w:rsid w:val="00DB086A"/>
    <w:rsid w:val="00DB0EDC"/>
    <w:rsid w:val="00DB14EF"/>
    <w:rsid w:val="00DB1CD6"/>
    <w:rsid w:val="00DB343C"/>
    <w:rsid w:val="00DB3735"/>
    <w:rsid w:val="00DB377D"/>
    <w:rsid w:val="00DB379D"/>
    <w:rsid w:val="00DB3937"/>
    <w:rsid w:val="00DB48DB"/>
    <w:rsid w:val="00DB5B71"/>
    <w:rsid w:val="00DB5C01"/>
    <w:rsid w:val="00DB6153"/>
    <w:rsid w:val="00DB667A"/>
    <w:rsid w:val="00DB75F8"/>
    <w:rsid w:val="00DB789D"/>
    <w:rsid w:val="00DB79D3"/>
    <w:rsid w:val="00DC01E2"/>
    <w:rsid w:val="00DC0771"/>
    <w:rsid w:val="00DC1D0F"/>
    <w:rsid w:val="00DC2F2F"/>
    <w:rsid w:val="00DC2F6C"/>
    <w:rsid w:val="00DC3AD6"/>
    <w:rsid w:val="00DC3C53"/>
    <w:rsid w:val="00DC421D"/>
    <w:rsid w:val="00DC4466"/>
    <w:rsid w:val="00DC4817"/>
    <w:rsid w:val="00DC54D9"/>
    <w:rsid w:val="00DC5B7B"/>
    <w:rsid w:val="00DC6433"/>
    <w:rsid w:val="00DC66C7"/>
    <w:rsid w:val="00DC6C7C"/>
    <w:rsid w:val="00DD0209"/>
    <w:rsid w:val="00DD046F"/>
    <w:rsid w:val="00DD111D"/>
    <w:rsid w:val="00DD1E6A"/>
    <w:rsid w:val="00DD24D9"/>
    <w:rsid w:val="00DD2AA2"/>
    <w:rsid w:val="00DD33AB"/>
    <w:rsid w:val="00DD3A9A"/>
    <w:rsid w:val="00DD3DDC"/>
    <w:rsid w:val="00DD4315"/>
    <w:rsid w:val="00DD5DD8"/>
    <w:rsid w:val="00DD68A6"/>
    <w:rsid w:val="00DD69AD"/>
    <w:rsid w:val="00DD6B8C"/>
    <w:rsid w:val="00DD7CFE"/>
    <w:rsid w:val="00DE0893"/>
    <w:rsid w:val="00DE0C89"/>
    <w:rsid w:val="00DE189A"/>
    <w:rsid w:val="00DE243B"/>
    <w:rsid w:val="00DE2DA4"/>
    <w:rsid w:val="00DE2E78"/>
    <w:rsid w:val="00DE38A4"/>
    <w:rsid w:val="00DE3C1D"/>
    <w:rsid w:val="00DE3E9D"/>
    <w:rsid w:val="00DE44CA"/>
    <w:rsid w:val="00DE4A26"/>
    <w:rsid w:val="00DE55F9"/>
    <w:rsid w:val="00DE5C6F"/>
    <w:rsid w:val="00DE5E9D"/>
    <w:rsid w:val="00DE6445"/>
    <w:rsid w:val="00DE6747"/>
    <w:rsid w:val="00DE68CA"/>
    <w:rsid w:val="00DE6A83"/>
    <w:rsid w:val="00DE708D"/>
    <w:rsid w:val="00DE7163"/>
    <w:rsid w:val="00DF1385"/>
    <w:rsid w:val="00DF1D8D"/>
    <w:rsid w:val="00DF257F"/>
    <w:rsid w:val="00DF2827"/>
    <w:rsid w:val="00DF2A52"/>
    <w:rsid w:val="00DF31A1"/>
    <w:rsid w:val="00DF35AB"/>
    <w:rsid w:val="00DF42C5"/>
    <w:rsid w:val="00DF4466"/>
    <w:rsid w:val="00DF52D4"/>
    <w:rsid w:val="00DF5690"/>
    <w:rsid w:val="00E00575"/>
    <w:rsid w:val="00E02125"/>
    <w:rsid w:val="00E02C59"/>
    <w:rsid w:val="00E0315C"/>
    <w:rsid w:val="00E03973"/>
    <w:rsid w:val="00E05246"/>
    <w:rsid w:val="00E05CBC"/>
    <w:rsid w:val="00E05CC1"/>
    <w:rsid w:val="00E05DB4"/>
    <w:rsid w:val="00E06C2B"/>
    <w:rsid w:val="00E06E86"/>
    <w:rsid w:val="00E07076"/>
    <w:rsid w:val="00E07535"/>
    <w:rsid w:val="00E07553"/>
    <w:rsid w:val="00E078DB"/>
    <w:rsid w:val="00E10080"/>
    <w:rsid w:val="00E107BE"/>
    <w:rsid w:val="00E10A50"/>
    <w:rsid w:val="00E11286"/>
    <w:rsid w:val="00E11889"/>
    <w:rsid w:val="00E118C5"/>
    <w:rsid w:val="00E11976"/>
    <w:rsid w:val="00E11D08"/>
    <w:rsid w:val="00E122CB"/>
    <w:rsid w:val="00E14EEA"/>
    <w:rsid w:val="00E14F0B"/>
    <w:rsid w:val="00E16601"/>
    <w:rsid w:val="00E16DCA"/>
    <w:rsid w:val="00E1723E"/>
    <w:rsid w:val="00E175D0"/>
    <w:rsid w:val="00E177DF"/>
    <w:rsid w:val="00E202FC"/>
    <w:rsid w:val="00E20308"/>
    <w:rsid w:val="00E205B3"/>
    <w:rsid w:val="00E21464"/>
    <w:rsid w:val="00E219B0"/>
    <w:rsid w:val="00E22425"/>
    <w:rsid w:val="00E22450"/>
    <w:rsid w:val="00E23866"/>
    <w:rsid w:val="00E23BB1"/>
    <w:rsid w:val="00E24982"/>
    <w:rsid w:val="00E24CFC"/>
    <w:rsid w:val="00E25550"/>
    <w:rsid w:val="00E257B8"/>
    <w:rsid w:val="00E25A99"/>
    <w:rsid w:val="00E25AB2"/>
    <w:rsid w:val="00E25F3D"/>
    <w:rsid w:val="00E26991"/>
    <w:rsid w:val="00E26C1A"/>
    <w:rsid w:val="00E26C3A"/>
    <w:rsid w:val="00E26CB4"/>
    <w:rsid w:val="00E270FE"/>
    <w:rsid w:val="00E27811"/>
    <w:rsid w:val="00E278E8"/>
    <w:rsid w:val="00E301B4"/>
    <w:rsid w:val="00E30D87"/>
    <w:rsid w:val="00E30F6D"/>
    <w:rsid w:val="00E3351C"/>
    <w:rsid w:val="00E33CEB"/>
    <w:rsid w:val="00E33F00"/>
    <w:rsid w:val="00E340F4"/>
    <w:rsid w:val="00E34A87"/>
    <w:rsid w:val="00E34E83"/>
    <w:rsid w:val="00E357CC"/>
    <w:rsid w:val="00E358CD"/>
    <w:rsid w:val="00E364AD"/>
    <w:rsid w:val="00E36984"/>
    <w:rsid w:val="00E36D03"/>
    <w:rsid w:val="00E370BE"/>
    <w:rsid w:val="00E37477"/>
    <w:rsid w:val="00E377F4"/>
    <w:rsid w:val="00E404AC"/>
    <w:rsid w:val="00E40686"/>
    <w:rsid w:val="00E4162B"/>
    <w:rsid w:val="00E41E28"/>
    <w:rsid w:val="00E420B7"/>
    <w:rsid w:val="00E429C4"/>
    <w:rsid w:val="00E42BB1"/>
    <w:rsid w:val="00E42CB8"/>
    <w:rsid w:val="00E4332B"/>
    <w:rsid w:val="00E438CA"/>
    <w:rsid w:val="00E4466D"/>
    <w:rsid w:val="00E44F1C"/>
    <w:rsid w:val="00E450EB"/>
    <w:rsid w:val="00E45745"/>
    <w:rsid w:val="00E45E1B"/>
    <w:rsid w:val="00E46590"/>
    <w:rsid w:val="00E47627"/>
    <w:rsid w:val="00E4799C"/>
    <w:rsid w:val="00E47B27"/>
    <w:rsid w:val="00E47CF7"/>
    <w:rsid w:val="00E47E50"/>
    <w:rsid w:val="00E5013A"/>
    <w:rsid w:val="00E504AF"/>
    <w:rsid w:val="00E50D39"/>
    <w:rsid w:val="00E50D41"/>
    <w:rsid w:val="00E517B5"/>
    <w:rsid w:val="00E51CD1"/>
    <w:rsid w:val="00E51E2A"/>
    <w:rsid w:val="00E5212E"/>
    <w:rsid w:val="00E5256A"/>
    <w:rsid w:val="00E52BFA"/>
    <w:rsid w:val="00E53474"/>
    <w:rsid w:val="00E536DC"/>
    <w:rsid w:val="00E537DA"/>
    <w:rsid w:val="00E5426C"/>
    <w:rsid w:val="00E54952"/>
    <w:rsid w:val="00E54B8F"/>
    <w:rsid w:val="00E54BCC"/>
    <w:rsid w:val="00E551B0"/>
    <w:rsid w:val="00E55E6C"/>
    <w:rsid w:val="00E55FDD"/>
    <w:rsid w:val="00E566D0"/>
    <w:rsid w:val="00E5674E"/>
    <w:rsid w:val="00E56B11"/>
    <w:rsid w:val="00E57ADA"/>
    <w:rsid w:val="00E57E09"/>
    <w:rsid w:val="00E60896"/>
    <w:rsid w:val="00E6102C"/>
    <w:rsid w:val="00E61439"/>
    <w:rsid w:val="00E61751"/>
    <w:rsid w:val="00E61AA7"/>
    <w:rsid w:val="00E61C46"/>
    <w:rsid w:val="00E61D84"/>
    <w:rsid w:val="00E62951"/>
    <w:rsid w:val="00E63611"/>
    <w:rsid w:val="00E63B9E"/>
    <w:rsid w:val="00E63C32"/>
    <w:rsid w:val="00E640B1"/>
    <w:rsid w:val="00E65111"/>
    <w:rsid w:val="00E6639E"/>
    <w:rsid w:val="00E67350"/>
    <w:rsid w:val="00E70B41"/>
    <w:rsid w:val="00E7101C"/>
    <w:rsid w:val="00E71692"/>
    <w:rsid w:val="00E744BA"/>
    <w:rsid w:val="00E7457B"/>
    <w:rsid w:val="00E74A5D"/>
    <w:rsid w:val="00E75955"/>
    <w:rsid w:val="00E7622B"/>
    <w:rsid w:val="00E80266"/>
    <w:rsid w:val="00E80FE7"/>
    <w:rsid w:val="00E81F40"/>
    <w:rsid w:val="00E82D48"/>
    <w:rsid w:val="00E82EDB"/>
    <w:rsid w:val="00E82EFC"/>
    <w:rsid w:val="00E83030"/>
    <w:rsid w:val="00E83307"/>
    <w:rsid w:val="00E835D0"/>
    <w:rsid w:val="00E83687"/>
    <w:rsid w:val="00E83D2D"/>
    <w:rsid w:val="00E84050"/>
    <w:rsid w:val="00E8417C"/>
    <w:rsid w:val="00E8471D"/>
    <w:rsid w:val="00E85431"/>
    <w:rsid w:val="00E85D83"/>
    <w:rsid w:val="00E869C3"/>
    <w:rsid w:val="00E87C4A"/>
    <w:rsid w:val="00E90134"/>
    <w:rsid w:val="00E90634"/>
    <w:rsid w:val="00E908CB"/>
    <w:rsid w:val="00E9092D"/>
    <w:rsid w:val="00E912E3"/>
    <w:rsid w:val="00E91371"/>
    <w:rsid w:val="00E91F65"/>
    <w:rsid w:val="00E928A9"/>
    <w:rsid w:val="00E93AD3"/>
    <w:rsid w:val="00E94575"/>
    <w:rsid w:val="00E94DAA"/>
    <w:rsid w:val="00E9560E"/>
    <w:rsid w:val="00E967F2"/>
    <w:rsid w:val="00E96B24"/>
    <w:rsid w:val="00E970C2"/>
    <w:rsid w:val="00E97765"/>
    <w:rsid w:val="00E978E5"/>
    <w:rsid w:val="00E97FC4"/>
    <w:rsid w:val="00EA07D2"/>
    <w:rsid w:val="00EA07E5"/>
    <w:rsid w:val="00EA13C4"/>
    <w:rsid w:val="00EA173D"/>
    <w:rsid w:val="00EA23B6"/>
    <w:rsid w:val="00EA2645"/>
    <w:rsid w:val="00EA285B"/>
    <w:rsid w:val="00EA2B90"/>
    <w:rsid w:val="00EA3C1B"/>
    <w:rsid w:val="00EA4204"/>
    <w:rsid w:val="00EA4904"/>
    <w:rsid w:val="00EA4CDC"/>
    <w:rsid w:val="00EA5240"/>
    <w:rsid w:val="00EA5FFF"/>
    <w:rsid w:val="00EA6A2E"/>
    <w:rsid w:val="00EA7957"/>
    <w:rsid w:val="00EA7D05"/>
    <w:rsid w:val="00EB080B"/>
    <w:rsid w:val="00EB0A2A"/>
    <w:rsid w:val="00EB0C2D"/>
    <w:rsid w:val="00EB0ECB"/>
    <w:rsid w:val="00EB11DA"/>
    <w:rsid w:val="00EB1216"/>
    <w:rsid w:val="00EB1274"/>
    <w:rsid w:val="00EB27BC"/>
    <w:rsid w:val="00EB29CC"/>
    <w:rsid w:val="00EB2FB6"/>
    <w:rsid w:val="00EB47D3"/>
    <w:rsid w:val="00EB491C"/>
    <w:rsid w:val="00EB56F4"/>
    <w:rsid w:val="00EB6E15"/>
    <w:rsid w:val="00EB7098"/>
    <w:rsid w:val="00EB778C"/>
    <w:rsid w:val="00EB7809"/>
    <w:rsid w:val="00EB7B44"/>
    <w:rsid w:val="00EC037C"/>
    <w:rsid w:val="00EC0711"/>
    <w:rsid w:val="00EC071D"/>
    <w:rsid w:val="00EC1088"/>
    <w:rsid w:val="00EC18D3"/>
    <w:rsid w:val="00EC1C86"/>
    <w:rsid w:val="00EC1F75"/>
    <w:rsid w:val="00EC23BB"/>
    <w:rsid w:val="00EC30C0"/>
    <w:rsid w:val="00EC33C4"/>
    <w:rsid w:val="00EC3458"/>
    <w:rsid w:val="00EC3A20"/>
    <w:rsid w:val="00EC3EE1"/>
    <w:rsid w:val="00EC64F6"/>
    <w:rsid w:val="00EC6F21"/>
    <w:rsid w:val="00EC789B"/>
    <w:rsid w:val="00EC7C4C"/>
    <w:rsid w:val="00EC7D6C"/>
    <w:rsid w:val="00EC7F5E"/>
    <w:rsid w:val="00ED02D8"/>
    <w:rsid w:val="00ED0B9E"/>
    <w:rsid w:val="00ED12FF"/>
    <w:rsid w:val="00ED174C"/>
    <w:rsid w:val="00ED1E72"/>
    <w:rsid w:val="00ED25A4"/>
    <w:rsid w:val="00ED3D69"/>
    <w:rsid w:val="00ED45DE"/>
    <w:rsid w:val="00ED5117"/>
    <w:rsid w:val="00ED5B21"/>
    <w:rsid w:val="00ED5B86"/>
    <w:rsid w:val="00ED6568"/>
    <w:rsid w:val="00ED6D78"/>
    <w:rsid w:val="00ED75BC"/>
    <w:rsid w:val="00ED7BE1"/>
    <w:rsid w:val="00ED7DBB"/>
    <w:rsid w:val="00ED7DF3"/>
    <w:rsid w:val="00EE01D2"/>
    <w:rsid w:val="00EE03AB"/>
    <w:rsid w:val="00EE05B0"/>
    <w:rsid w:val="00EE1BC5"/>
    <w:rsid w:val="00EE1C22"/>
    <w:rsid w:val="00EE2653"/>
    <w:rsid w:val="00EE2A01"/>
    <w:rsid w:val="00EE3CCF"/>
    <w:rsid w:val="00EE4759"/>
    <w:rsid w:val="00EE5EF8"/>
    <w:rsid w:val="00EE6CDC"/>
    <w:rsid w:val="00EE7A40"/>
    <w:rsid w:val="00EE7B46"/>
    <w:rsid w:val="00EF0125"/>
    <w:rsid w:val="00EF0A11"/>
    <w:rsid w:val="00EF171B"/>
    <w:rsid w:val="00EF1D90"/>
    <w:rsid w:val="00EF1E58"/>
    <w:rsid w:val="00EF2642"/>
    <w:rsid w:val="00EF3031"/>
    <w:rsid w:val="00EF3184"/>
    <w:rsid w:val="00EF3C1D"/>
    <w:rsid w:val="00EF3F21"/>
    <w:rsid w:val="00EF468E"/>
    <w:rsid w:val="00EF4BCD"/>
    <w:rsid w:val="00EF5048"/>
    <w:rsid w:val="00EF50A4"/>
    <w:rsid w:val="00EF52B6"/>
    <w:rsid w:val="00EF5D1B"/>
    <w:rsid w:val="00EF5D5B"/>
    <w:rsid w:val="00F002EA"/>
    <w:rsid w:val="00F008E6"/>
    <w:rsid w:val="00F01F89"/>
    <w:rsid w:val="00F029D4"/>
    <w:rsid w:val="00F02DB1"/>
    <w:rsid w:val="00F03359"/>
    <w:rsid w:val="00F0428E"/>
    <w:rsid w:val="00F04BE7"/>
    <w:rsid w:val="00F06476"/>
    <w:rsid w:val="00F0678B"/>
    <w:rsid w:val="00F06915"/>
    <w:rsid w:val="00F074D3"/>
    <w:rsid w:val="00F07A91"/>
    <w:rsid w:val="00F10397"/>
    <w:rsid w:val="00F105BB"/>
    <w:rsid w:val="00F106E2"/>
    <w:rsid w:val="00F10EAC"/>
    <w:rsid w:val="00F11FFF"/>
    <w:rsid w:val="00F1266B"/>
    <w:rsid w:val="00F127AC"/>
    <w:rsid w:val="00F12D73"/>
    <w:rsid w:val="00F13083"/>
    <w:rsid w:val="00F14757"/>
    <w:rsid w:val="00F14AE6"/>
    <w:rsid w:val="00F14C75"/>
    <w:rsid w:val="00F155C8"/>
    <w:rsid w:val="00F15A52"/>
    <w:rsid w:val="00F15BA1"/>
    <w:rsid w:val="00F16500"/>
    <w:rsid w:val="00F168D8"/>
    <w:rsid w:val="00F172BF"/>
    <w:rsid w:val="00F17BF1"/>
    <w:rsid w:val="00F17DA0"/>
    <w:rsid w:val="00F17F5F"/>
    <w:rsid w:val="00F2097A"/>
    <w:rsid w:val="00F211A6"/>
    <w:rsid w:val="00F218A0"/>
    <w:rsid w:val="00F21B87"/>
    <w:rsid w:val="00F21BCB"/>
    <w:rsid w:val="00F22A9E"/>
    <w:rsid w:val="00F22C2B"/>
    <w:rsid w:val="00F238F0"/>
    <w:rsid w:val="00F23928"/>
    <w:rsid w:val="00F24735"/>
    <w:rsid w:val="00F26C2A"/>
    <w:rsid w:val="00F276EB"/>
    <w:rsid w:val="00F30387"/>
    <w:rsid w:val="00F31309"/>
    <w:rsid w:val="00F314E7"/>
    <w:rsid w:val="00F317CE"/>
    <w:rsid w:val="00F31D56"/>
    <w:rsid w:val="00F32EBD"/>
    <w:rsid w:val="00F3349F"/>
    <w:rsid w:val="00F33780"/>
    <w:rsid w:val="00F33D10"/>
    <w:rsid w:val="00F37A54"/>
    <w:rsid w:val="00F40351"/>
    <w:rsid w:val="00F4067C"/>
    <w:rsid w:val="00F413A8"/>
    <w:rsid w:val="00F424A1"/>
    <w:rsid w:val="00F4366B"/>
    <w:rsid w:val="00F43B92"/>
    <w:rsid w:val="00F44269"/>
    <w:rsid w:val="00F44F96"/>
    <w:rsid w:val="00F45219"/>
    <w:rsid w:val="00F455F2"/>
    <w:rsid w:val="00F457A4"/>
    <w:rsid w:val="00F46059"/>
    <w:rsid w:val="00F46785"/>
    <w:rsid w:val="00F47C0F"/>
    <w:rsid w:val="00F5035E"/>
    <w:rsid w:val="00F505AE"/>
    <w:rsid w:val="00F50645"/>
    <w:rsid w:val="00F516CD"/>
    <w:rsid w:val="00F51D5A"/>
    <w:rsid w:val="00F51D6B"/>
    <w:rsid w:val="00F5211F"/>
    <w:rsid w:val="00F53226"/>
    <w:rsid w:val="00F54061"/>
    <w:rsid w:val="00F540AC"/>
    <w:rsid w:val="00F548D3"/>
    <w:rsid w:val="00F54FFB"/>
    <w:rsid w:val="00F56C54"/>
    <w:rsid w:val="00F60C26"/>
    <w:rsid w:val="00F6161F"/>
    <w:rsid w:val="00F616D1"/>
    <w:rsid w:val="00F619B8"/>
    <w:rsid w:val="00F61BE8"/>
    <w:rsid w:val="00F622D3"/>
    <w:rsid w:val="00F6364A"/>
    <w:rsid w:val="00F64B1F"/>
    <w:rsid w:val="00F64F9F"/>
    <w:rsid w:val="00F6612B"/>
    <w:rsid w:val="00F6622D"/>
    <w:rsid w:val="00F66FF6"/>
    <w:rsid w:val="00F677FD"/>
    <w:rsid w:val="00F706DA"/>
    <w:rsid w:val="00F7126A"/>
    <w:rsid w:val="00F71686"/>
    <w:rsid w:val="00F71E3D"/>
    <w:rsid w:val="00F73F64"/>
    <w:rsid w:val="00F744CD"/>
    <w:rsid w:val="00F74861"/>
    <w:rsid w:val="00F74CFD"/>
    <w:rsid w:val="00F74E9B"/>
    <w:rsid w:val="00F74F56"/>
    <w:rsid w:val="00F7620D"/>
    <w:rsid w:val="00F76CF4"/>
    <w:rsid w:val="00F81A7A"/>
    <w:rsid w:val="00F82EA8"/>
    <w:rsid w:val="00F83211"/>
    <w:rsid w:val="00F8381D"/>
    <w:rsid w:val="00F839AC"/>
    <w:rsid w:val="00F83F5A"/>
    <w:rsid w:val="00F84147"/>
    <w:rsid w:val="00F852D1"/>
    <w:rsid w:val="00F853AE"/>
    <w:rsid w:val="00F8578E"/>
    <w:rsid w:val="00F85EC7"/>
    <w:rsid w:val="00F86A95"/>
    <w:rsid w:val="00F87BFA"/>
    <w:rsid w:val="00F90D61"/>
    <w:rsid w:val="00F91193"/>
    <w:rsid w:val="00F915A4"/>
    <w:rsid w:val="00F9185E"/>
    <w:rsid w:val="00F91933"/>
    <w:rsid w:val="00F91E2F"/>
    <w:rsid w:val="00F92A29"/>
    <w:rsid w:val="00F941E7"/>
    <w:rsid w:val="00F94447"/>
    <w:rsid w:val="00F9451A"/>
    <w:rsid w:val="00F9533A"/>
    <w:rsid w:val="00F9538A"/>
    <w:rsid w:val="00F95E0E"/>
    <w:rsid w:val="00F96CE1"/>
    <w:rsid w:val="00F96FB4"/>
    <w:rsid w:val="00F97201"/>
    <w:rsid w:val="00F97A59"/>
    <w:rsid w:val="00F97D23"/>
    <w:rsid w:val="00FA0395"/>
    <w:rsid w:val="00FA0444"/>
    <w:rsid w:val="00FA0674"/>
    <w:rsid w:val="00FA12A6"/>
    <w:rsid w:val="00FA1C38"/>
    <w:rsid w:val="00FA2167"/>
    <w:rsid w:val="00FA2942"/>
    <w:rsid w:val="00FA320B"/>
    <w:rsid w:val="00FA4132"/>
    <w:rsid w:val="00FA485B"/>
    <w:rsid w:val="00FA4B03"/>
    <w:rsid w:val="00FA4B3E"/>
    <w:rsid w:val="00FA4DD3"/>
    <w:rsid w:val="00FA4DFA"/>
    <w:rsid w:val="00FA5CC3"/>
    <w:rsid w:val="00FA5E30"/>
    <w:rsid w:val="00FA60EB"/>
    <w:rsid w:val="00FA6283"/>
    <w:rsid w:val="00FA66B7"/>
    <w:rsid w:val="00FA6856"/>
    <w:rsid w:val="00FA6934"/>
    <w:rsid w:val="00FA7129"/>
    <w:rsid w:val="00FA7345"/>
    <w:rsid w:val="00FA7509"/>
    <w:rsid w:val="00FB1592"/>
    <w:rsid w:val="00FB16F4"/>
    <w:rsid w:val="00FB1DB0"/>
    <w:rsid w:val="00FB27A0"/>
    <w:rsid w:val="00FB2BFF"/>
    <w:rsid w:val="00FB32A0"/>
    <w:rsid w:val="00FB4186"/>
    <w:rsid w:val="00FB4DBA"/>
    <w:rsid w:val="00FB4E62"/>
    <w:rsid w:val="00FB6B35"/>
    <w:rsid w:val="00FB6EFE"/>
    <w:rsid w:val="00FC0AF6"/>
    <w:rsid w:val="00FC0DA8"/>
    <w:rsid w:val="00FC14A8"/>
    <w:rsid w:val="00FC1624"/>
    <w:rsid w:val="00FC1659"/>
    <w:rsid w:val="00FC3354"/>
    <w:rsid w:val="00FC342C"/>
    <w:rsid w:val="00FC4214"/>
    <w:rsid w:val="00FC4EA0"/>
    <w:rsid w:val="00FC54AA"/>
    <w:rsid w:val="00FC5ED9"/>
    <w:rsid w:val="00FC6C59"/>
    <w:rsid w:val="00FC6E11"/>
    <w:rsid w:val="00FC6EA4"/>
    <w:rsid w:val="00FC79EF"/>
    <w:rsid w:val="00FD0336"/>
    <w:rsid w:val="00FD1B08"/>
    <w:rsid w:val="00FD3232"/>
    <w:rsid w:val="00FD345D"/>
    <w:rsid w:val="00FD438F"/>
    <w:rsid w:val="00FD4396"/>
    <w:rsid w:val="00FD439B"/>
    <w:rsid w:val="00FD4494"/>
    <w:rsid w:val="00FD52A7"/>
    <w:rsid w:val="00FD544F"/>
    <w:rsid w:val="00FD5487"/>
    <w:rsid w:val="00FD57A3"/>
    <w:rsid w:val="00FD599F"/>
    <w:rsid w:val="00FD776F"/>
    <w:rsid w:val="00FE107D"/>
    <w:rsid w:val="00FE191C"/>
    <w:rsid w:val="00FE2135"/>
    <w:rsid w:val="00FE3A0C"/>
    <w:rsid w:val="00FE3B76"/>
    <w:rsid w:val="00FE44D7"/>
    <w:rsid w:val="00FE4796"/>
    <w:rsid w:val="00FE4BD3"/>
    <w:rsid w:val="00FE4FE8"/>
    <w:rsid w:val="00FE5442"/>
    <w:rsid w:val="00FE62DD"/>
    <w:rsid w:val="00FE6B21"/>
    <w:rsid w:val="00FE720C"/>
    <w:rsid w:val="00FF037C"/>
    <w:rsid w:val="00FF0909"/>
    <w:rsid w:val="00FF0B87"/>
    <w:rsid w:val="00FF1C16"/>
    <w:rsid w:val="00FF29FD"/>
    <w:rsid w:val="00FF2AD6"/>
    <w:rsid w:val="00FF2B87"/>
    <w:rsid w:val="00FF3A24"/>
    <w:rsid w:val="00FF5F11"/>
    <w:rsid w:val="00FF6236"/>
    <w:rsid w:val="00FF6E56"/>
    <w:rsid w:val="00FF753E"/>
    <w:rsid w:val="00FF7C57"/>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2DE5D67-7444-4155-B25B-1C1B89690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imes New Roman"/>
        <w:kern w:val="24"/>
        <w:sz w:val="23"/>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0B4"/>
    <w:pPr>
      <w:spacing w:after="180" w:line="264" w:lineRule="auto"/>
    </w:pPr>
  </w:style>
  <w:style w:type="paragraph" w:styleId="Heading1">
    <w:name w:val="heading 1"/>
    <w:basedOn w:val="Normal"/>
    <w:next w:val="Normal"/>
    <w:link w:val="Heading1Char"/>
    <w:uiPriority w:val="9"/>
    <w:unhideWhenUsed/>
    <w:qFormat/>
    <w:rsid w:val="00A40912"/>
    <w:pPr>
      <w:numPr>
        <w:numId w:val="7"/>
      </w:numPr>
      <w:spacing w:before="300" w:after="80" w:line="240" w:lineRule="auto"/>
      <w:ind w:left="6881"/>
      <w:outlineLvl w:val="0"/>
    </w:pPr>
    <w:rPr>
      <w:rFonts w:asciiTheme="majorHAnsi" w:hAnsiTheme="majorHAnsi"/>
      <w:b/>
      <w:caps/>
      <w:color w:val="0070C0"/>
      <w:sz w:val="32"/>
      <w:szCs w:val="32"/>
    </w:rPr>
  </w:style>
  <w:style w:type="paragraph" w:styleId="Heading2">
    <w:name w:val="heading 2"/>
    <w:basedOn w:val="Normal"/>
    <w:next w:val="Normal"/>
    <w:link w:val="Heading2Char"/>
    <w:uiPriority w:val="9"/>
    <w:unhideWhenUsed/>
    <w:qFormat/>
    <w:rsid w:val="002670B4"/>
    <w:pPr>
      <w:numPr>
        <w:ilvl w:val="1"/>
        <w:numId w:val="7"/>
      </w:numPr>
      <w:spacing w:before="240" w:after="80"/>
      <w:outlineLvl w:val="1"/>
    </w:pPr>
    <w:rPr>
      <w:b/>
      <w:color w:val="94B6D2" w:themeColor="accent1"/>
      <w:spacing w:val="20"/>
      <w:sz w:val="28"/>
      <w:szCs w:val="28"/>
    </w:rPr>
  </w:style>
  <w:style w:type="paragraph" w:styleId="Heading3">
    <w:name w:val="heading 3"/>
    <w:basedOn w:val="Heading4"/>
    <w:next w:val="Normal"/>
    <w:link w:val="Heading3Char"/>
    <w:uiPriority w:val="9"/>
    <w:unhideWhenUsed/>
    <w:qFormat/>
    <w:rsid w:val="00611703"/>
    <w:pPr>
      <w:numPr>
        <w:ilvl w:val="2"/>
      </w:numPr>
      <w:autoSpaceDE w:val="0"/>
      <w:autoSpaceDN w:val="0"/>
      <w:adjustRightInd w:val="0"/>
      <w:spacing w:before="0" w:after="200" w:line="240" w:lineRule="auto"/>
      <w:ind w:right="85"/>
      <w:jc w:val="both"/>
      <w:outlineLvl w:val="2"/>
    </w:pPr>
    <w:rPr>
      <w:b/>
      <w:caps w:val="0"/>
    </w:rPr>
  </w:style>
  <w:style w:type="paragraph" w:styleId="Heading4">
    <w:name w:val="heading 4"/>
    <w:basedOn w:val="Normal"/>
    <w:next w:val="Normal"/>
    <w:link w:val="Heading4Char"/>
    <w:uiPriority w:val="9"/>
    <w:unhideWhenUsed/>
    <w:qFormat/>
    <w:rsid w:val="002670B4"/>
    <w:pPr>
      <w:numPr>
        <w:ilvl w:val="3"/>
        <w:numId w:val="7"/>
      </w:numPr>
      <w:spacing w:before="240" w:after="0"/>
      <w:outlineLvl w:val="3"/>
    </w:pPr>
    <w:rPr>
      <w:caps/>
      <w:spacing w:val="14"/>
      <w:sz w:val="22"/>
      <w:szCs w:val="22"/>
    </w:rPr>
  </w:style>
  <w:style w:type="paragraph" w:styleId="Heading5">
    <w:name w:val="heading 5"/>
    <w:basedOn w:val="Normal"/>
    <w:next w:val="Normal"/>
    <w:link w:val="Heading5Char"/>
    <w:uiPriority w:val="9"/>
    <w:unhideWhenUsed/>
    <w:qFormat/>
    <w:rsid w:val="002670B4"/>
    <w:pPr>
      <w:numPr>
        <w:ilvl w:val="4"/>
        <w:numId w:val="7"/>
      </w:numPr>
      <w:spacing w:before="200" w:after="0"/>
      <w:outlineLvl w:val="4"/>
    </w:pPr>
    <w:rPr>
      <w:b/>
      <w:color w:val="775F55" w:themeColor="text2"/>
      <w:spacing w:val="10"/>
      <w:szCs w:val="26"/>
    </w:rPr>
  </w:style>
  <w:style w:type="paragraph" w:styleId="Heading6">
    <w:name w:val="heading 6"/>
    <w:basedOn w:val="Normal"/>
    <w:next w:val="Normal"/>
    <w:link w:val="Heading6Char"/>
    <w:uiPriority w:val="9"/>
    <w:semiHidden/>
    <w:unhideWhenUsed/>
    <w:qFormat/>
    <w:rsid w:val="002670B4"/>
    <w:pPr>
      <w:numPr>
        <w:ilvl w:val="5"/>
        <w:numId w:val="7"/>
      </w:numPr>
      <w:spacing w:after="0"/>
      <w:outlineLvl w:val="5"/>
    </w:pPr>
    <w:rPr>
      <w:b/>
      <w:color w:val="DD8047" w:themeColor="accent2"/>
      <w:spacing w:val="10"/>
    </w:rPr>
  </w:style>
  <w:style w:type="paragraph" w:styleId="Heading7">
    <w:name w:val="heading 7"/>
    <w:basedOn w:val="Normal"/>
    <w:next w:val="Normal"/>
    <w:link w:val="Heading7Char"/>
    <w:uiPriority w:val="9"/>
    <w:semiHidden/>
    <w:unhideWhenUsed/>
    <w:qFormat/>
    <w:rsid w:val="002670B4"/>
    <w:pPr>
      <w:numPr>
        <w:ilvl w:val="6"/>
        <w:numId w:val="7"/>
      </w:numPr>
      <w:spacing w:after="0"/>
      <w:outlineLvl w:val="6"/>
    </w:pPr>
    <w:rPr>
      <w:smallCaps/>
      <w:color w:val="000000" w:themeColor="text1"/>
      <w:spacing w:val="10"/>
    </w:rPr>
  </w:style>
  <w:style w:type="paragraph" w:styleId="Heading8">
    <w:name w:val="heading 8"/>
    <w:basedOn w:val="Normal"/>
    <w:next w:val="Normal"/>
    <w:link w:val="Heading8Char"/>
    <w:uiPriority w:val="9"/>
    <w:semiHidden/>
    <w:unhideWhenUsed/>
    <w:qFormat/>
    <w:rsid w:val="002670B4"/>
    <w:pPr>
      <w:numPr>
        <w:ilvl w:val="7"/>
        <w:numId w:val="7"/>
      </w:numPr>
      <w:spacing w:after="0"/>
      <w:outlineLvl w:val="7"/>
    </w:pPr>
    <w:rPr>
      <w:b/>
      <w:i/>
      <w:color w:val="94B6D2" w:themeColor="accent1"/>
      <w:spacing w:val="10"/>
      <w:sz w:val="24"/>
    </w:rPr>
  </w:style>
  <w:style w:type="paragraph" w:styleId="Heading9">
    <w:name w:val="heading 9"/>
    <w:basedOn w:val="Normal"/>
    <w:next w:val="Normal"/>
    <w:link w:val="Heading9Char"/>
    <w:uiPriority w:val="9"/>
    <w:semiHidden/>
    <w:unhideWhenUsed/>
    <w:qFormat/>
    <w:rsid w:val="002670B4"/>
    <w:pPr>
      <w:numPr>
        <w:ilvl w:val="8"/>
        <w:numId w:val="7"/>
      </w:numPr>
      <w:spacing w:after="0"/>
      <w:outlineLvl w:val="8"/>
    </w:pPr>
    <w:rPr>
      <w:b/>
      <w:caps/>
      <w:color w:val="A5AB81" w:themeColor="accent3"/>
      <w:spacing w:val="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0912"/>
    <w:rPr>
      <w:rFonts w:asciiTheme="majorHAnsi" w:hAnsiTheme="majorHAnsi"/>
      <w:b/>
      <w:caps/>
      <w:color w:val="0070C0"/>
      <w:sz w:val="32"/>
      <w:szCs w:val="32"/>
    </w:rPr>
  </w:style>
  <w:style w:type="character" w:customStyle="1" w:styleId="Heading2Char">
    <w:name w:val="Heading 2 Char"/>
    <w:basedOn w:val="DefaultParagraphFont"/>
    <w:link w:val="Heading2"/>
    <w:uiPriority w:val="9"/>
    <w:rsid w:val="002670B4"/>
    <w:rPr>
      <w:b/>
      <w:color w:val="94B6D2" w:themeColor="accent1"/>
      <w:spacing w:val="20"/>
      <w:sz w:val="28"/>
      <w:szCs w:val="28"/>
    </w:rPr>
  </w:style>
  <w:style w:type="character" w:customStyle="1" w:styleId="Heading3Char">
    <w:name w:val="Heading 3 Char"/>
    <w:basedOn w:val="DefaultParagraphFont"/>
    <w:link w:val="Heading3"/>
    <w:uiPriority w:val="9"/>
    <w:rsid w:val="00611703"/>
    <w:rPr>
      <w:b/>
      <w:spacing w:val="14"/>
      <w:sz w:val="22"/>
      <w:szCs w:val="22"/>
    </w:rPr>
  </w:style>
  <w:style w:type="paragraph" w:styleId="Footer">
    <w:name w:val="footer"/>
    <w:basedOn w:val="Normal"/>
    <w:link w:val="FooterChar"/>
    <w:uiPriority w:val="99"/>
    <w:unhideWhenUsed/>
    <w:rsid w:val="002670B4"/>
    <w:pPr>
      <w:tabs>
        <w:tab w:val="center" w:pos="4320"/>
        <w:tab w:val="right" w:pos="8640"/>
      </w:tabs>
    </w:pPr>
  </w:style>
  <w:style w:type="character" w:customStyle="1" w:styleId="FooterChar">
    <w:name w:val="Footer Char"/>
    <w:basedOn w:val="DefaultParagraphFont"/>
    <w:link w:val="Footer"/>
    <w:uiPriority w:val="99"/>
    <w:rsid w:val="002670B4"/>
    <w:rPr>
      <w:rFonts w:cs="Times New Roman"/>
      <w:sz w:val="23"/>
      <w:szCs w:val="23"/>
    </w:rPr>
  </w:style>
  <w:style w:type="paragraph" w:styleId="Header">
    <w:name w:val="header"/>
    <w:basedOn w:val="Normal"/>
    <w:link w:val="HeaderChar"/>
    <w:uiPriority w:val="99"/>
    <w:unhideWhenUsed/>
    <w:rsid w:val="002670B4"/>
    <w:pPr>
      <w:tabs>
        <w:tab w:val="center" w:pos="4320"/>
        <w:tab w:val="right" w:pos="8640"/>
      </w:tabs>
    </w:pPr>
  </w:style>
  <w:style w:type="character" w:customStyle="1" w:styleId="HeaderChar">
    <w:name w:val="Header Char"/>
    <w:basedOn w:val="DefaultParagraphFont"/>
    <w:link w:val="Header"/>
    <w:uiPriority w:val="99"/>
    <w:rsid w:val="002670B4"/>
    <w:rPr>
      <w:rFonts w:cs="Times New Roman"/>
      <w:sz w:val="23"/>
      <w:szCs w:val="23"/>
    </w:rPr>
  </w:style>
  <w:style w:type="paragraph" w:styleId="IntenseQuote">
    <w:name w:val="Intense Quote"/>
    <w:basedOn w:val="Normal"/>
    <w:link w:val="IntenseQuoteChar"/>
    <w:uiPriority w:val="30"/>
    <w:qFormat/>
    <w:rsid w:val="002670B4"/>
    <w:pPr>
      <w:pBdr>
        <w:top w:val="double" w:sz="12" w:space="10" w:color="DD8047" w:themeColor="accent2"/>
        <w:left w:val="double" w:sz="12" w:space="10" w:color="DD8047" w:themeColor="accent2"/>
        <w:bottom w:val="double" w:sz="12" w:space="10" w:color="DD8047" w:themeColor="accent2"/>
        <w:right w:val="double" w:sz="12" w:space="10" w:color="DD8047" w:themeColor="accent2"/>
      </w:pBdr>
      <w:shd w:val="clear" w:color="auto" w:fill="FFFFFF" w:themeFill="background1"/>
      <w:spacing w:before="300" w:after="300"/>
      <w:ind w:left="720" w:right="720"/>
      <w:contextualSpacing/>
    </w:pPr>
    <w:rPr>
      <w:b/>
      <w:color w:val="DD8047" w:themeColor="accent2"/>
    </w:rPr>
  </w:style>
  <w:style w:type="character" w:customStyle="1" w:styleId="IntenseQuoteChar">
    <w:name w:val="Intense Quote Char"/>
    <w:basedOn w:val="DefaultParagraphFont"/>
    <w:link w:val="IntenseQuote"/>
    <w:uiPriority w:val="30"/>
    <w:rsid w:val="002670B4"/>
    <w:rPr>
      <w:rFonts w:cs="Times New Roman"/>
      <w:b/>
      <w:color w:val="DD8047" w:themeColor="accent2"/>
      <w:sz w:val="23"/>
      <w:szCs w:val="23"/>
      <w:shd w:val="clear" w:color="auto" w:fill="FFFFFF" w:themeFill="background1"/>
    </w:rPr>
  </w:style>
  <w:style w:type="paragraph" w:styleId="Subtitle">
    <w:name w:val="Subtitle"/>
    <w:basedOn w:val="Normal"/>
    <w:link w:val="SubtitleChar"/>
    <w:uiPriority w:val="11"/>
    <w:qFormat/>
    <w:rsid w:val="002670B4"/>
    <w:pPr>
      <w:spacing w:after="720" w:line="240" w:lineRule="auto"/>
    </w:pPr>
    <w:rPr>
      <w:rFonts w:asciiTheme="majorHAnsi" w:hAnsiTheme="majorHAnsi"/>
      <w:b/>
      <w:caps/>
      <w:color w:val="DD8047" w:themeColor="accent2"/>
      <w:spacing w:val="50"/>
      <w:sz w:val="24"/>
      <w:szCs w:val="24"/>
    </w:rPr>
  </w:style>
  <w:style w:type="character" w:customStyle="1" w:styleId="SubtitleChar">
    <w:name w:val="Subtitle Char"/>
    <w:basedOn w:val="DefaultParagraphFont"/>
    <w:link w:val="Subtitle"/>
    <w:uiPriority w:val="11"/>
    <w:rsid w:val="002670B4"/>
    <w:rPr>
      <w:rFonts w:asciiTheme="majorHAnsi" w:hAnsiTheme="majorHAnsi" w:cs="Times New Roman"/>
      <w:b/>
      <w:caps/>
      <w:color w:val="DD8047" w:themeColor="accent2"/>
      <w:spacing w:val="50"/>
      <w:sz w:val="24"/>
    </w:rPr>
  </w:style>
  <w:style w:type="paragraph" w:styleId="Title">
    <w:name w:val="Title"/>
    <w:basedOn w:val="Normal"/>
    <w:link w:val="TitleChar"/>
    <w:uiPriority w:val="10"/>
    <w:qFormat/>
    <w:rsid w:val="002670B4"/>
    <w:pPr>
      <w:spacing w:after="0" w:line="240" w:lineRule="auto"/>
    </w:pPr>
    <w:rPr>
      <w:color w:val="775F55" w:themeColor="text2"/>
      <w:sz w:val="72"/>
      <w:szCs w:val="72"/>
    </w:rPr>
  </w:style>
  <w:style w:type="character" w:customStyle="1" w:styleId="TitleChar">
    <w:name w:val="Title Char"/>
    <w:basedOn w:val="DefaultParagraphFont"/>
    <w:link w:val="Title"/>
    <w:uiPriority w:val="10"/>
    <w:rsid w:val="002670B4"/>
    <w:rPr>
      <w:rFonts w:cs="Times New Roman"/>
      <w:color w:val="775F55" w:themeColor="text2"/>
      <w:sz w:val="72"/>
      <w:szCs w:val="72"/>
    </w:rPr>
  </w:style>
  <w:style w:type="paragraph" w:styleId="BalloonText">
    <w:name w:val="Balloon Text"/>
    <w:basedOn w:val="Normal"/>
    <w:link w:val="BalloonTextChar"/>
    <w:uiPriority w:val="99"/>
    <w:semiHidden/>
    <w:unhideWhenUsed/>
    <w:rsid w:val="002670B4"/>
    <w:rPr>
      <w:rFonts w:ascii="Tahoma" w:hAnsi="Tahoma" w:cs="Tahoma"/>
      <w:sz w:val="16"/>
      <w:szCs w:val="16"/>
    </w:rPr>
  </w:style>
  <w:style w:type="character" w:customStyle="1" w:styleId="BalloonTextChar">
    <w:name w:val="Balloon Text Char"/>
    <w:basedOn w:val="DefaultParagraphFont"/>
    <w:link w:val="BalloonText"/>
    <w:uiPriority w:val="99"/>
    <w:semiHidden/>
    <w:rsid w:val="002670B4"/>
    <w:rPr>
      <w:rFonts w:ascii="Tahoma" w:hAnsi="Tahoma" w:cs="Tahoma"/>
      <w:sz w:val="16"/>
      <w:szCs w:val="16"/>
    </w:rPr>
  </w:style>
  <w:style w:type="character" w:styleId="BookTitle">
    <w:name w:val="Book Title"/>
    <w:basedOn w:val="DefaultParagraphFont"/>
    <w:uiPriority w:val="33"/>
    <w:qFormat/>
    <w:rsid w:val="002670B4"/>
    <w:rPr>
      <w:rFonts w:asciiTheme="minorHAnsi" w:hAnsiTheme="minorHAnsi" w:cs="Times New Roman"/>
      <w:i/>
      <w:color w:val="775F55" w:themeColor="text2"/>
      <w:sz w:val="23"/>
      <w:szCs w:val="23"/>
    </w:rPr>
  </w:style>
  <w:style w:type="paragraph" w:styleId="Caption">
    <w:name w:val="caption"/>
    <w:basedOn w:val="Normal"/>
    <w:next w:val="Normal"/>
    <w:uiPriority w:val="35"/>
    <w:unhideWhenUsed/>
    <w:rsid w:val="002670B4"/>
    <w:rPr>
      <w:b/>
      <w:bCs/>
      <w:caps/>
      <w:sz w:val="16"/>
      <w:szCs w:val="16"/>
    </w:rPr>
  </w:style>
  <w:style w:type="character" w:styleId="Emphasis">
    <w:name w:val="Emphasis"/>
    <w:uiPriority w:val="20"/>
    <w:qFormat/>
    <w:rsid w:val="002670B4"/>
    <w:rPr>
      <w:rFonts w:asciiTheme="minorHAnsi" w:hAnsiTheme="minorHAnsi"/>
      <w:b/>
      <w:i/>
      <w:color w:val="775F55" w:themeColor="text2"/>
      <w:spacing w:val="10"/>
      <w:sz w:val="23"/>
    </w:rPr>
  </w:style>
  <w:style w:type="character" w:customStyle="1" w:styleId="Heading4Char">
    <w:name w:val="Heading 4 Char"/>
    <w:basedOn w:val="DefaultParagraphFont"/>
    <w:link w:val="Heading4"/>
    <w:uiPriority w:val="9"/>
    <w:rsid w:val="002670B4"/>
    <w:rPr>
      <w:caps/>
      <w:spacing w:val="14"/>
      <w:sz w:val="22"/>
      <w:szCs w:val="22"/>
    </w:rPr>
  </w:style>
  <w:style w:type="character" w:customStyle="1" w:styleId="Heading5Char">
    <w:name w:val="Heading 5 Char"/>
    <w:basedOn w:val="DefaultParagraphFont"/>
    <w:link w:val="Heading5"/>
    <w:uiPriority w:val="9"/>
    <w:rsid w:val="002670B4"/>
    <w:rPr>
      <w:b/>
      <w:color w:val="775F55" w:themeColor="text2"/>
      <w:spacing w:val="10"/>
      <w:szCs w:val="26"/>
    </w:rPr>
  </w:style>
  <w:style w:type="character" w:customStyle="1" w:styleId="Heading6Char">
    <w:name w:val="Heading 6 Char"/>
    <w:basedOn w:val="DefaultParagraphFont"/>
    <w:link w:val="Heading6"/>
    <w:uiPriority w:val="9"/>
    <w:semiHidden/>
    <w:rsid w:val="002670B4"/>
    <w:rPr>
      <w:b/>
      <w:color w:val="DD8047" w:themeColor="accent2"/>
      <w:spacing w:val="10"/>
    </w:rPr>
  </w:style>
  <w:style w:type="character" w:customStyle="1" w:styleId="Heading7Char">
    <w:name w:val="Heading 7 Char"/>
    <w:basedOn w:val="DefaultParagraphFont"/>
    <w:link w:val="Heading7"/>
    <w:uiPriority w:val="9"/>
    <w:semiHidden/>
    <w:rsid w:val="002670B4"/>
    <w:rPr>
      <w:smallCaps/>
      <w:color w:val="000000" w:themeColor="text1"/>
      <w:spacing w:val="10"/>
    </w:rPr>
  </w:style>
  <w:style w:type="character" w:customStyle="1" w:styleId="Heading8Char">
    <w:name w:val="Heading 8 Char"/>
    <w:basedOn w:val="DefaultParagraphFont"/>
    <w:link w:val="Heading8"/>
    <w:uiPriority w:val="9"/>
    <w:semiHidden/>
    <w:rsid w:val="002670B4"/>
    <w:rPr>
      <w:b/>
      <w:i/>
      <w:color w:val="94B6D2" w:themeColor="accent1"/>
      <w:spacing w:val="10"/>
      <w:sz w:val="24"/>
    </w:rPr>
  </w:style>
  <w:style w:type="character" w:customStyle="1" w:styleId="Heading9Char">
    <w:name w:val="Heading 9 Char"/>
    <w:basedOn w:val="DefaultParagraphFont"/>
    <w:link w:val="Heading9"/>
    <w:uiPriority w:val="9"/>
    <w:semiHidden/>
    <w:rsid w:val="002670B4"/>
    <w:rPr>
      <w:b/>
      <w:caps/>
      <w:color w:val="A5AB81" w:themeColor="accent3"/>
      <w:spacing w:val="40"/>
      <w:sz w:val="20"/>
    </w:rPr>
  </w:style>
  <w:style w:type="character" w:styleId="Hyperlink">
    <w:name w:val="Hyperlink"/>
    <w:basedOn w:val="DefaultParagraphFont"/>
    <w:uiPriority w:val="99"/>
    <w:unhideWhenUsed/>
    <w:rsid w:val="002670B4"/>
    <w:rPr>
      <w:color w:val="F7B615" w:themeColor="hyperlink"/>
      <w:u w:val="single"/>
    </w:rPr>
  </w:style>
  <w:style w:type="character" w:styleId="IntenseEmphasis">
    <w:name w:val="Intense Emphasis"/>
    <w:basedOn w:val="DefaultParagraphFont"/>
    <w:uiPriority w:val="21"/>
    <w:qFormat/>
    <w:rsid w:val="002670B4"/>
    <w:rPr>
      <w:rFonts w:asciiTheme="minorHAnsi" w:hAnsiTheme="minorHAnsi"/>
      <w:b/>
      <w:dstrike w:val="0"/>
      <w:color w:val="DD8047" w:themeColor="accent2"/>
      <w:spacing w:val="10"/>
      <w:w w:val="100"/>
      <w:kern w:val="0"/>
      <w:position w:val="0"/>
      <w:sz w:val="23"/>
      <w:vertAlign w:val="baseline"/>
    </w:rPr>
  </w:style>
  <w:style w:type="character" w:styleId="IntenseReference">
    <w:name w:val="Intense Reference"/>
    <w:basedOn w:val="DefaultParagraphFont"/>
    <w:uiPriority w:val="32"/>
    <w:qFormat/>
    <w:rsid w:val="002670B4"/>
    <w:rPr>
      <w:rFonts w:asciiTheme="minorHAnsi" w:hAnsiTheme="minorHAnsi"/>
      <w:b/>
      <w:caps/>
      <w:color w:val="94B6D2" w:themeColor="accent1"/>
      <w:spacing w:val="10"/>
      <w:w w:val="100"/>
      <w:position w:val="0"/>
      <w:sz w:val="20"/>
      <w:szCs w:val="20"/>
      <w:u w:val="single" w:color="94B6D2" w:themeColor="accent1"/>
      <w:bdr w:val="none" w:sz="0" w:space="0" w:color="auto"/>
    </w:rPr>
  </w:style>
  <w:style w:type="paragraph" w:styleId="List">
    <w:name w:val="List"/>
    <w:basedOn w:val="Normal"/>
    <w:uiPriority w:val="99"/>
    <w:semiHidden/>
    <w:unhideWhenUsed/>
    <w:rsid w:val="002670B4"/>
    <w:pPr>
      <w:ind w:left="360" w:hanging="360"/>
    </w:pPr>
  </w:style>
  <w:style w:type="paragraph" w:styleId="List2">
    <w:name w:val="List 2"/>
    <w:basedOn w:val="Normal"/>
    <w:uiPriority w:val="99"/>
    <w:semiHidden/>
    <w:unhideWhenUsed/>
    <w:rsid w:val="002670B4"/>
    <w:pPr>
      <w:ind w:left="720" w:hanging="360"/>
    </w:pPr>
  </w:style>
  <w:style w:type="paragraph" w:styleId="ListBullet">
    <w:name w:val="List Bullet"/>
    <w:basedOn w:val="Normal"/>
    <w:uiPriority w:val="36"/>
    <w:unhideWhenUsed/>
    <w:qFormat/>
    <w:rsid w:val="002670B4"/>
    <w:pPr>
      <w:numPr>
        <w:numId w:val="2"/>
      </w:numPr>
    </w:pPr>
    <w:rPr>
      <w:sz w:val="24"/>
    </w:rPr>
  </w:style>
  <w:style w:type="paragraph" w:styleId="ListBullet2">
    <w:name w:val="List Bullet 2"/>
    <w:basedOn w:val="Normal"/>
    <w:uiPriority w:val="36"/>
    <w:unhideWhenUsed/>
    <w:qFormat/>
    <w:rsid w:val="002670B4"/>
    <w:pPr>
      <w:numPr>
        <w:numId w:val="3"/>
      </w:numPr>
    </w:pPr>
    <w:rPr>
      <w:color w:val="94B6D2" w:themeColor="accent1"/>
    </w:rPr>
  </w:style>
  <w:style w:type="paragraph" w:styleId="ListBullet3">
    <w:name w:val="List Bullet 3"/>
    <w:basedOn w:val="Normal"/>
    <w:uiPriority w:val="36"/>
    <w:unhideWhenUsed/>
    <w:qFormat/>
    <w:rsid w:val="002670B4"/>
    <w:pPr>
      <w:numPr>
        <w:numId w:val="4"/>
      </w:numPr>
    </w:pPr>
    <w:rPr>
      <w:color w:val="DD8047" w:themeColor="accent2"/>
    </w:rPr>
  </w:style>
  <w:style w:type="paragraph" w:styleId="ListBullet4">
    <w:name w:val="List Bullet 4"/>
    <w:basedOn w:val="Normal"/>
    <w:uiPriority w:val="36"/>
    <w:unhideWhenUsed/>
    <w:qFormat/>
    <w:rsid w:val="002670B4"/>
    <w:pPr>
      <w:numPr>
        <w:numId w:val="5"/>
      </w:numPr>
    </w:pPr>
    <w:rPr>
      <w:caps/>
      <w:spacing w:val="4"/>
    </w:rPr>
  </w:style>
  <w:style w:type="paragraph" w:styleId="ListBullet5">
    <w:name w:val="List Bullet 5"/>
    <w:basedOn w:val="Normal"/>
    <w:uiPriority w:val="36"/>
    <w:unhideWhenUsed/>
    <w:qFormat/>
    <w:rsid w:val="002670B4"/>
    <w:pPr>
      <w:numPr>
        <w:numId w:val="6"/>
      </w:numPr>
    </w:pPr>
  </w:style>
  <w:style w:type="paragraph" w:styleId="ListParagraph">
    <w:name w:val="List Paragraph"/>
    <w:basedOn w:val="Normal"/>
    <w:uiPriority w:val="34"/>
    <w:unhideWhenUsed/>
    <w:qFormat/>
    <w:rsid w:val="002670B4"/>
    <w:pPr>
      <w:ind w:left="720"/>
      <w:contextualSpacing/>
    </w:pPr>
  </w:style>
  <w:style w:type="numbering" w:customStyle="1" w:styleId="Estilodelistamediano">
    <w:name w:val="Estilo de lista mediano"/>
    <w:uiPriority w:val="99"/>
    <w:rsid w:val="002670B4"/>
    <w:pPr>
      <w:numPr>
        <w:numId w:val="1"/>
      </w:numPr>
    </w:pPr>
  </w:style>
  <w:style w:type="paragraph" w:styleId="NoSpacing">
    <w:name w:val="No Spacing"/>
    <w:basedOn w:val="Normal"/>
    <w:link w:val="NoSpacingChar"/>
    <w:uiPriority w:val="1"/>
    <w:qFormat/>
    <w:rsid w:val="002670B4"/>
    <w:pPr>
      <w:spacing w:after="0" w:line="240" w:lineRule="auto"/>
    </w:pPr>
  </w:style>
  <w:style w:type="character" w:styleId="PlaceholderText">
    <w:name w:val="Placeholder Text"/>
    <w:basedOn w:val="DefaultParagraphFont"/>
    <w:uiPriority w:val="99"/>
    <w:unhideWhenUsed/>
    <w:rsid w:val="002670B4"/>
    <w:rPr>
      <w:color w:val="808080"/>
    </w:rPr>
  </w:style>
  <w:style w:type="paragraph" w:styleId="Quote">
    <w:name w:val="Quote"/>
    <w:basedOn w:val="Normal"/>
    <w:link w:val="QuoteChar"/>
    <w:uiPriority w:val="29"/>
    <w:qFormat/>
    <w:rsid w:val="002670B4"/>
    <w:rPr>
      <w:i/>
      <w:smallCaps/>
      <w:color w:val="775F55" w:themeColor="text2"/>
      <w:spacing w:val="6"/>
    </w:rPr>
  </w:style>
  <w:style w:type="character" w:customStyle="1" w:styleId="QuoteChar">
    <w:name w:val="Quote Char"/>
    <w:basedOn w:val="DefaultParagraphFont"/>
    <w:link w:val="Quote"/>
    <w:uiPriority w:val="29"/>
    <w:rsid w:val="002670B4"/>
    <w:rPr>
      <w:rFonts w:cs="Times New Roman"/>
      <w:i/>
      <w:smallCaps/>
      <w:color w:val="775F55" w:themeColor="text2"/>
      <w:spacing w:val="6"/>
      <w:sz w:val="23"/>
      <w:szCs w:val="23"/>
    </w:rPr>
  </w:style>
  <w:style w:type="character" w:styleId="Strong">
    <w:name w:val="Strong"/>
    <w:uiPriority w:val="22"/>
    <w:qFormat/>
    <w:rsid w:val="002670B4"/>
    <w:rPr>
      <w:rFonts w:asciiTheme="minorHAnsi" w:hAnsiTheme="minorHAnsi"/>
      <w:b/>
      <w:color w:val="DD8047" w:themeColor="accent2"/>
    </w:rPr>
  </w:style>
  <w:style w:type="character" w:styleId="SubtleEmphasis">
    <w:name w:val="Subtle Emphasis"/>
    <w:basedOn w:val="DefaultParagraphFont"/>
    <w:uiPriority w:val="19"/>
    <w:qFormat/>
    <w:rsid w:val="002670B4"/>
    <w:rPr>
      <w:rFonts w:asciiTheme="minorHAnsi" w:hAnsiTheme="minorHAnsi"/>
      <w:i/>
      <w:sz w:val="23"/>
    </w:rPr>
  </w:style>
  <w:style w:type="character" w:styleId="SubtleReference">
    <w:name w:val="Subtle Reference"/>
    <w:basedOn w:val="DefaultParagraphFont"/>
    <w:uiPriority w:val="31"/>
    <w:qFormat/>
    <w:rsid w:val="002670B4"/>
    <w:rPr>
      <w:rFonts w:asciiTheme="minorHAnsi" w:hAnsiTheme="minorHAnsi"/>
      <w:b/>
      <w:i/>
      <w:color w:val="775F55" w:themeColor="text2"/>
      <w:sz w:val="23"/>
    </w:rPr>
  </w:style>
  <w:style w:type="table" w:styleId="TableGrid">
    <w:name w:val="Table Grid"/>
    <w:basedOn w:val="TableNormal"/>
    <w:uiPriority w:val="1"/>
    <w:rsid w:val="002670B4"/>
    <w:pPr>
      <w:spacing w:after="0" w:line="240" w:lineRule="auto"/>
    </w:pPr>
    <w:rPr>
      <w:rFonts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uiPriority w:val="99"/>
    <w:semiHidden/>
    <w:unhideWhenUsed/>
    <w:rsid w:val="002670B4"/>
    <w:pPr>
      <w:ind w:left="220" w:hanging="220"/>
    </w:pPr>
  </w:style>
  <w:style w:type="paragraph" w:styleId="TOC1">
    <w:name w:val="toc 1"/>
    <w:basedOn w:val="Normal"/>
    <w:next w:val="Normal"/>
    <w:autoRedefine/>
    <w:uiPriority w:val="39"/>
    <w:unhideWhenUsed/>
    <w:rsid w:val="00080BAE"/>
    <w:pPr>
      <w:tabs>
        <w:tab w:val="left" w:pos="460"/>
        <w:tab w:val="right" w:leader="dot" w:pos="9913"/>
      </w:tabs>
      <w:spacing w:before="120" w:after="120"/>
      <w:ind w:left="142"/>
    </w:pPr>
    <w:rPr>
      <w:b/>
      <w:bCs/>
      <w:caps/>
      <w:sz w:val="20"/>
    </w:rPr>
  </w:style>
  <w:style w:type="paragraph" w:styleId="TOC2">
    <w:name w:val="toc 2"/>
    <w:basedOn w:val="Normal"/>
    <w:next w:val="Normal"/>
    <w:autoRedefine/>
    <w:uiPriority w:val="39"/>
    <w:unhideWhenUsed/>
    <w:rsid w:val="00940C8A"/>
    <w:pPr>
      <w:spacing w:after="0"/>
      <w:ind w:left="230"/>
    </w:pPr>
    <w:rPr>
      <w:smallCaps/>
      <w:sz w:val="20"/>
    </w:rPr>
  </w:style>
  <w:style w:type="paragraph" w:styleId="TOC3">
    <w:name w:val="toc 3"/>
    <w:basedOn w:val="Normal"/>
    <w:next w:val="Normal"/>
    <w:autoRedefine/>
    <w:uiPriority w:val="39"/>
    <w:unhideWhenUsed/>
    <w:qFormat/>
    <w:rsid w:val="002670B4"/>
    <w:pPr>
      <w:spacing w:after="0"/>
      <w:ind w:left="460"/>
    </w:pPr>
    <w:rPr>
      <w:i/>
      <w:iCs/>
      <w:sz w:val="20"/>
    </w:rPr>
  </w:style>
  <w:style w:type="paragraph" w:styleId="TOC4">
    <w:name w:val="toc 4"/>
    <w:basedOn w:val="Normal"/>
    <w:next w:val="Normal"/>
    <w:autoRedefine/>
    <w:uiPriority w:val="39"/>
    <w:unhideWhenUsed/>
    <w:qFormat/>
    <w:rsid w:val="009E26B9"/>
    <w:pPr>
      <w:tabs>
        <w:tab w:val="left" w:pos="1610"/>
        <w:tab w:val="right" w:leader="dot" w:pos="9913"/>
      </w:tabs>
      <w:spacing w:after="0"/>
      <w:ind w:left="690"/>
    </w:pPr>
    <w:rPr>
      <w:noProof/>
      <w:sz w:val="18"/>
      <w:szCs w:val="18"/>
    </w:rPr>
  </w:style>
  <w:style w:type="paragraph" w:styleId="TOC5">
    <w:name w:val="toc 5"/>
    <w:basedOn w:val="Normal"/>
    <w:next w:val="Normal"/>
    <w:autoRedefine/>
    <w:uiPriority w:val="99"/>
    <w:unhideWhenUsed/>
    <w:qFormat/>
    <w:rsid w:val="002670B4"/>
    <w:pPr>
      <w:spacing w:after="0"/>
      <w:ind w:left="920"/>
    </w:pPr>
    <w:rPr>
      <w:sz w:val="18"/>
      <w:szCs w:val="18"/>
    </w:rPr>
  </w:style>
  <w:style w:type="paragraph" w:styleId="TOC6">
    <w:name w:val="toc 6"/>
    <w:basedOn w:val="Normal"/>
    <w:next w:val="Normal"/>
    <w:autoRedefine/>
    <w:uiPriority w:val="99"/>
    <w:unhideWhenUsed/>
    <w:qFormat/>
    <w:rsid w:val="002670B4"/>
    <w:pPr>
      <w:spacing w:after="0"/>
      <w:ind w:left="1150"/>
    </w:pPr>
    <w:rPr>
      <w:sz w:val="18"/>
      <w:szCs w:val="18"/>
    </w:rPr>
  </w:style>
  <w:style w:type="paragraph" w:styleId="TOC7">
    <w:name w:val="toc 7"/>
    <w:basedOn w:val="Normal"/>
    <w:next w:val="Normal"/>
    <w:autoRedefine/>
    <w:uiPriority w:val="99"/>
    <w:unhideWhenUsed/>
    <w:qFormat/>
    <w:rsid w:val="002670B4"/>
    <w:pPr>
      <w:spacing w:after="0"/>
      <w:ind w:left="1380"/>
    </w:pPr>
    <w:rPr>
      <w:sz w:val="18"/>
      <w:szCs w:val="18"/>
    </w:rPr>
  </w:style>
  <w:style w:type="paragraph" w:styleId="TOC8">
    <w:name w:val="toc 8"/>
    <w:basedOn w:val="Normal"/>
    <w:next w:val="Normal"/>
    <w:autoRedefine/>
    <w:uiPriority w:val="99"/>
    <w:unhideWhenUsed/>
    <w:qFormat/>
    <w:rsid w:val="002670B4"/>
    <w:pPr>
      <w:spacing w:after="0"/>
      <w:ind w:left="1610"/>
    </w:pPr>
    <w:rPr>
      <w:sz w:val="18"/>
      <w:szCs w:val="18"/>
    </w:rPr>
  </w:style>
  <w:style w:type="paragraph" w:styleId="TOC9">
    <w:name w:val="toc 9"/>
    <w:basedOn w:val="Normal"/>
    <w:next w:val="Normal"/>
    <w:autoRedefine/>
    <w:uiPriority w:val="99"/>
    <w:unhideWhenUsed/>
    <w:qFormat/>
    <w:rsid w:val="002670B4"/>
    <w:pPr>
      <w:spacing w:after="0"/>
      <w:ind w:left="1840"/>
    </w:pPr>
    <w:rPr>
      <w:sz w:val="18"/>
      <w:szCs w:val="18"/>
    </w:rPr>
  </w:style>
  <w:style w:type="paragraph" w:customStyle="1" w:styleId="Categora">
    <w:name w:val="Categoría"/>
    <w:basedOn w:val="Normal"/>
    <w:uiPriority w:val="49"/>
    <w:rsid w:val="002670B4"/>
    <w:pPr>
      <w:spacing w:after="0"/>
    </w:pPr>
    <w:rPr>
      <w:b/>
      <w:sz w:val="24"/>
      <w:szCs w:val="24"/>
    </w:rPr>
  </w:style>
  <w:style w:type="paragraph" w:customStyle="1" w:styleId="Nombredelacompaa">
    <w:name w:val="Nombre de la compañía"/>
    <w:basedOn w:val="Normal"/>
    <w:uiPriority w:val="49"/>
    <w:rsid w:val="002670B4"/>
    <w:pPr>
      <w:spacing w:after="0"/>
    </w:pPr>
    <w:rPr>
      <w:rFonts w:cstheme="minorBidi"/>
      <w:sz w:val="36"/>
      <w:szCs w:val="36"/>
    </w:rPr>
  </w:style>
  <w:style w:type="paragraph" w:customStyle="1" w:styleId="Piedepginapar">
    <w:name w:val="Pie de página par"/>
    <w:basedOn w:val="Normal"/>
    <w:unhideWhenUsed/>
    <w:qFormat/>
    <w:rsid w:val="002670B4"/>
    <w:pPr>
      <w:pBdr>
        <w:top w:val="single" w:sz="4" w:space="1" w:color="94B6D2" w:themeColor="accent1"/>
      </w:pBdr>
    </w:pPr>
    <w:rPr>
      <w:color w:val="775F55" w:themeColor="text2"/>
      <w:sz w:val="20"/>
    </w:rPr>
  </w:style>
  <w:style w:type="paragraph" w:customStyle="1" w:styleId="Piedepginaimpar">
    <w:name w:val="Pie de página impar"/>
    <w:basedOn w:val="Normal"/>
    <w:unhideWhenUsed/>
    <w:qFormat/>
    <w:rsid w:val="002670B4"/>
    <w:pPr>
      <w:pBdr>
        <w:top w:val="single" w:sz="4" w:space="1" w:color="94B6D2" w:themeColor="accent1"/>
      </w:pBdr>
      <w:jc w:val="right"/>
    </w:pPr>
    <w:rPr>
      <w:color w:val="775F55" w:themeColor="text2"/>
      <w:sz w:val="20"/>
    </w:rPr>
  </w:style>
  <w:style w:type="paragraph" w:customStyle="1" w:styleId="Encabezadopar">
    <w:name w:val="Encabezado par"/>
    <w:basedOn w:val="Normal"/>
    <w:unhideWhenUsed/>
    <w:qFormat/>
    <w:rsid w:val="002670B4"/>
    <w:pPr>
      <w:pBdr>
        <w:bottom w:val="single" w:sz="4" w:space="1" w:color="94B6D2" w:themeColor="accent1"/>
      </w:pBdr>
      <w:spacing w:after="0" w:line="240" w:lineRule="auto"/>
    </w:pPr>
    <w:rPr>
      <w:rFonts w:eastAsia="Times New Roman"/>
      <w:b/>
      <w:color w:val="775F55" w:themeColor="text2"/>
      <w:sz w:val="20"/>
    </w:rPr>
  </w:style>
  <w:style w:type="paragraph" w:customStyle="1" w:styleId="Encabezadoimpar">
    <w:name w:val="Encabezado impar"/>
    <w:basedOn w:val="Normal"/>
    <w:unhideWhenUsed/>
    <w:qFormat/>
    <w:rsid w:val="002670B4"/>
    <w:pPr>
      <w:pBdr>
        <w:bottom w:val="single" w:sz="4" w:space="1" w:color="94B6D2" w:themeColor="accent1"/>
      </w:pBdr>
      <w:spacing w:after="0" w:line="240" w:lineRule="auto"/>
      <w:jc w:val="right"/>
    </w:pPr>
    <w:rPr>
      <w:rFonts w:eastAsia="Times New Roman"/>
      <w:b/>
      <w:color w:val="775F55" w:themeColor="text2"/>
      <w:sz w:val="20"/>
    </w:rPr>
  </w:style>
  <w:style w:type="paragraph" w:customStyle="1" w:styleId="SinEspaciado">
    <w:name w:val="SinEspaciado"/>
    <w:basedOn w:val="Normal"/>
    <w:qFormat/>
    <w:rsid w:val="002670B4"/>
    <w:pPr>
      <w:framePr w:wrap="auto" w:hAnchor="page" w:xAlign="center" w:yAlign="top"/>
      <w:spacing w:after="0" w:line="240" w:lineRule="auto"/>
      <w:suppressOverlap/>
    </w:pPr>
    <w:rPr>
      <w:szCs w:val="120"/>
    </w:rPr>
  </w:style>
  <w:style w:type="paragraph" w:styleId="FootnoteText">
    <w:name w:val="footnote text"/>
    <w:basedOn w:val="Normal"/>
    <w:link w:val="FootnoteTextChar"/>
    <w:uiPriority w:val="99"/>
    <w:semiHidden/>
    <w:unhideWhenUsed/>
    <w:rsid w:val="00BE6EEE"/>
    <w:pPr>
      <w:spacing w:after="0" w:line="240" w:lineRule="auto"/>
      <w:jc w:val="both"/>
    </w:pPr>
    <w:rPr>
      <w:rFonts w:cstheme="minorBidi"/>
      <w:kern w:val="0"/>
      <w:sz w:val="20"/>
      <w:lang w:val="es-ES" w:eastAsia="en-US"/>
    </w:rPr>
  </w:style>
  <w:style w:type="character" w:customStyle="1" w:styleId="FootnoteTextChar">
    <w:name w:val="Footnote Text Char"/>
    <w:basedOn w:val="DefaultParagraphFont"/>
    <w:link w:val="FootnoteText"/>
    <w:uiPriority w:val="99"/>
    <w:semiHidden/>
    <w:rsid w:val="00BE6EEE"/>
    <w:rPr>
      <w:rFonts w:cstheme="minorBidi"/>
      <w:kern w:val="0"/>
      <w:sz w:val="20"/>
      <w:lang w:val="es-ES" w:eastAsia="en-US"/>
    </w:rPr>
  </w:style>
  <w:style w:type="character" w:styleId="FootnoteReference">
    <w:name w:val="footnote reference"/>
    <w:basedOn w:val="DefaultParagraphFont"/>
    <w:uiPriority w:val="99"/>
    <w:semiHidden/>
    <w:unhideWhenUsed/>
    <w:rsid w:val="00BE6EEE"/>
    <w:rPr>
      <w:vertAlign w:val="superscript"/>
    </w:rPr>
  </w:style>
  <w:style w:type="table" w:customStyle="1" w:styleId="Listaclara-nfasis11">
    <w:name w:val="Lista clara - Énfasis 11"/>
    <w:basedOn w:val="TableNormal"/>
    <w:uiPriority w:val="61"/>
    <w:rsid w:val="00BE6EEE"/>
    <w:pPr>
      <w:spacing w:after="0" w:line="240" w:lineRule="auto"/>
      <w:jc w:val="both"/>
    </w:pPr>
    <w:rPr>
      <w:rFonts w:ascii="Calibri" w:eastAsia="Calibri" w:hAnsi="Calibri"/>
      <w:kern w:val="0"/>
      <w:sz w:val="20"/>
    </w:rPr>
    <w:tblPr>
      <w:tblStyleRowBandSize w:val="1"/>
      <w:tblStyleColBandSize w:val="1"/>
      <w:tblBorders>
        <w:top w:val="single" w:sz="8" w:space="0" w:color="94B6D2" w:themeColor="accent1"/>
        <w:left w:val="single" w:sz="8" w:space="0" w:color="94B6D2" w:themeColor="accent1"/>
        <w:bottom w:val="single" w:sz="8" w:space="0" w:color="94B6D2" w:themeColor="accent1"/>
        <w:right w:val="single" w:sz="8" w:space="0" w:color="94B6D2" w:themeColor="accent1"/>
      </w:tblBorders>
    </w:tblPr>
    <w:tblStylePr w:type="firstRow">
      <w:pPr>
        <w:spacing w:before="0" w:after="0" w:line="240" w:lineRule="auto"/>
      </w:pPr>
      <w:rPr>
        <w:b/>
        <w:bCs/>
        <w:color w:val="FFFFFF" w:themeColor="background1"/>
      </w:rPr>
      <w:tblPr/>
      <w:tcPr>
        <w:shd w:val="clear" w:color="auto" w:fill="94B6D2" w:themeFill="accent1"/>
      </w:tcPr>
    </w:tblStylePr>
    <w:tblStylePr w:type="lastRow">
      <w:pPr>
        <w:spacing w:before="0" w:after="0" w:line="240" w:lineRule="auto"/>
      </w:pPr>
      <w:rPr>
        <w:b/>
        <w:bCs/>
      </w:rPr>
      <w:tblPr/>
      <w:tcPr>
        <w:tcBorders>
          <w:top w:val="double" w:sz="6" w:space="0" w:color="94B6D2" w:themeColor="accent1"/>
          <w:left w:val="single" w:sz="8" w:space="0" w:color="94B6D2" w:themeColor="accent1"/>
          <w:bottom w:val="single" w:sz="8" w:space="0" w:color="94B6D2" w:themeColor="accent1"/>
          <w:right w:val="single" w:sz="8" w:space="0" w:color="94B6D2" w:themeColor="accent1"/>
        </w:tcBorders>
      </w:tcPr>
    </w:tblStylePr>
    <w:tblStylePr w:type="firstCol">
      <w:rPr>
        <w:b/>
        <w:bCs/>
      </w:rPr>
    </w:tblStylePr>
    <w:tblStylePr w:type="lastCol">
      <w:rPr>
        <w:b/>
        <w:bCs/>
      </w:rPr>
    </w:tblStylePr>
    <w:tblStylePr w:type="band1Vert">
      <w:tblPr/>
      <w:tcPr>
        <w:tcBorders>
          <w:top w:val="single" w:sz="8" w:space="0" w:color="94B6D2" w:themeColor="accent1"/>
          <w:left w:val="single" w:sz="8" w:space="0" w:color="94B6D2" w:themeColor="accent1"/>
          <w:bottom w:val="single" w:sz="8" w:space="0" w:color="94B6D2" w:themeColor="accent1"/>
          <w:right w:val="single" w:sz="8" w:space="0" w:color="94B6D2" w:themeColor="accent1"/>
        </w:tcBorders>
      </w:tcPr>
    </w:tblStylePr>
    <w:tblStylePr w:type="band1Horz">
      <w:tblPr/>
      <w:tcPr>
        <w:tcBorders>
          <w:top w:val="single" w:sz="8" w:space="0" w:color="94B6D2" w:themeColor="accent1"/>
          <w:left w:val="single" w:sz="8" w:space="0" w:color="94B6D2" w:themeColor="accent1"/>
          <w:bottom w:val="single" w:sz="8" w:space="0" w:color="94B6D2" w:themeColor="accent1"/>
          <w:right w:val="single" w:sz="8" w:space="0" w:color="94B6D2" w:themeColor="accent1"/>
        </w:tcBorders>
      </w:tcPr>
    </w:tblStylePr>
  </w:style>
  <w:style w:type="paragraph" w:styleId="NormalWeb">
    <w:name w:val="Normal (Web)"/>
    <w:basedOn w:val="Normal"/>
    <w:uiPriority w:val="99"/>
    <w:unhideWhenUsed/>
    <w:rsid w:val="003E396B"/>
    <w:pPr>
      <w:spacing w:before="100" w:beforeAutospacing="1" w:after="100" w:afterAutospacing="1" w:line="240" w:lineRule="auto"/>
    </w:pPr>
    <w:rPr>
      <w:rFonts w:ascii="Times New Roman" w:eastAsia="Times New Roman" w:hAnsi="Times New Roman"/>
      <w:kern w:val="0"/>
      <w:sz w:val="24"/>
      <w:szCs w:val="24"/>
    </w:rPr>
  </w:style>
  <w:style w:type="character" w:customStyle="1" w:styleId="apple-converted-space">
    <w:name w:val="apple-converted-space"/>
    <w:basedOn w:val="DefaultParagraphFont"/>
    <w:rsid w:val="003E396B"/>
  </w:style>
  <w:style w:type="character" w:customStyle="1" w:styleId="destacado">
    <w:name w:val="destacado"/>
    <w:basedOn w:val="DefaultParagraphFont"/>
    <w:rsid w:val="003E396B"/>
  </w:style>
  <w:style w:type="paragraph" w:styleId="TOCHeading">
    <w:name w:val="TOC Heading"/>
    <w:basedOn w:val="Heading1"/>
    <w:next w:val="Normal"/>
    <w:uiPriority w:val="39"/>
    <w:semiHidden/>
    <w:unhideWhenUsed/>
    <w:qFormat/>
    <w:rsid w:val="0066435E"/>
    <w:pPr>
      <w:keepNext/>
      <w:keepLines/>
      <w:numPr>
        <w:numId w:val="0"/>
      </w:numPr>
      <w:spacing w:before="480" w:after="0" w:line="276" w:lineRule="auto"/>
      <w:outlineLvl w:val="9"/>
    </w:pPr>
    <w:rPr>
      <w:rFonts w:eastAsiaTheme="majorEastAsia" w:cstheme="majorBidi"/>
      <w:bCs/>
      <w:caps w:val="0"/>
      <w:color w:val="548AB7" w:themeColor="accent1" w:themeShade="BF"/>
      <w:kern w:val="0"/>
      <w:sz w:val="28"/>
      <w:szCs w:val="28"/>
      <w:lang w:val="es-ES" w:eastAsia="en-US"/>
    </w:rPr>
  </w:style>
  <w:style w:type="paragraph" w:customStyle="1" w:styleId="Default">
    <w:name w:val="Default"/>
    <w:uiPriority w:val="99"/>
    <w:rsid w:val="00F218A0"/>
    <w:pPr>
      <w:autoSpaceDE w:val="0"/>
      <w:autoSpaceDN w:val="0"/>
      <w:adjustRightInd w:val="0"/>
      <w:spacing w:after="0" w:line="240" w:lineRule="auto"/>
    </w:pPr>
    <w:rPr>
      <w:rFonts w:ascii="Arial" w:hAnsi="Arial" w:cs="Arial"/>
      <w:color w:val="000000"/>
      <w:kern w:val="0"/>
      <w:sz w:val="24"/>
      <w:szCs w:val="24"/>
      <w:lang w:val="es-ES"/>
    </w:rPr>
  </w:style>
  <w:style w:type="paragraph" w:styleId="CommentText">
    <w:name w:val="annotation text"/>
    <w:basedOn w:val="Normal"/>
    <w:link w:val="CommentTextChar"/>
    <w:uiPriority w:val="99"/>
    <w:unhideWhenUsed/>
    <w:rsid w:val="00A717D2"/>
    <w:pPr>
      <w:spacing w:line="240" w:lineRule="auto"/>
    </w:pPr>
    <w:rPr>
      <w:sz w:val="20"/>
    </w:rPr>
  </w:style>
  <w:style w:type="character" w:customStyle="1" w:styleId="CommentTextChar">
    <w:name w:val="Comment Text Char"/>
    <w:basedOn w:val="DefaultParagraphFont"/>
    <w:link w:val="CommentText"/>
    <w:uiPriority w:val="99"/>
    <w:rsid w:val="00A717D2"/>
    <w:rPr>
      <w:sz w:val="20"/>
    </w:rPr>
  </w:style>
  <w:style w:type="character" w:styleId="CommentReference">
    <w:name w:val="annotation reference"/>
    <w:basedOn w:val="DefaultParagraphFont"/>
    <w:uiPriority w:val="99"/>
    <w:semiHidden/>
    <w:unhideWhenUsed/>
    <w:rsid w:val="00EA07E5"/>
    <w:rPr>
      <w:sz w:val="16"/>
      <w:szCs w:val="16"/>
    </w:rPr>
  </w:style>
  <w:style w:type="paragraph" w:styleId="EndnoteText">
    <w:name w:val="endnote text"/>
    <w:basedOn w:val="Normal"/>
    <w:link w:val="EndnoteTextChar"/>
    <w:uiPriority w:val="99"/>
    <w:semiHidden/>
    <w:unhideWhenUsed/>
    <w:rsid w:val="008E3F20"/>
    <w:pPr>
      <w:spacing w:after="0" w:line="240" w:lineRule="auto"/>
    </w:pPr>
    <w:rPr>
      <w:sz w:val="20"/>
    </w:rPr>
  </w:style>
  <w:style w:type="character" w:customStyle="1" w:styleId="EndnoteTextChar">
    <w:name w:val="Endnote Text Char"/>
    <w:basedOn w:val="DefaultParagraphFont"/>
    <w:link w:val="EndnoteText"/>
    <w:uiPriority w:val="99"/>
    <w:semiHidden/>
    <w:rsid w:val="008E3F20"/>
    <w:rPr>
      <w:sz w:val="20"/>
    </w:rPr>
  </w:style>
  <w:style w:type="character" w:styleId="EndnoteReference">
    <w:name w:val="endnote reference"/>
    <w:basedOn w:val="DefaultParagraphFont"/>
    <w:uiPriority w:val="99"/>
    <w:semiHidden/>
    <w:unhideWhenUsed/>
    <w:rsid w:val="008E3F20"/>
    <w:rPr>
      <w:vertAlign w:val="superscript"/>
    </w:rPr>
  </w:style>
  <w:style w:type="character" w:customStyle="1" w:styleId="apple-style-span">
    <w:name w:val="apple-style-span"/>
    <w:basedOn w:val="DefaultParagraphFont"/>
    <w:rsid w:val="00E40686"/>
  </w:style>
  <w:style w:type="table" w:customStyle="1" w:styleId="Tabladelista4-nfasis31">
    <w:name w:val="Tabla de lista 4 - Énfasis 31"/>
    <w:basedOn w:val="TableNormal"/>
    <w:uiPriority w:val="49"/>
    <w:rsid w:val="00814597"/>
    <w:pPr>
      <w:spacing w:after="0" w:line="240" w:lineRule="auto"/>
    </w:pPr>
    <w:tblPr>
      <w:tblStyleRowBandSize w:val="1"/>
      <w:tblStyleColBandSize w:val="1"/>
      <w:tblBorders>
        <w:top w:val="single" w:sz="4" w:space="0" w:color="C8CCB3" w:themeColor="accent3" w:themeTint="99"/>
        <w:left w:val="single" w:sz="4" w:space="0" w:color="C8CCB3" w:themeColor="accent3" w:themeTint="99"/>
        <w:bottom w:val="single" w:sz="4" w:space="0" w:color="C8CCB3" w:themeColor="accent3" w:themeTint="99"/>
        <w:right w:val="single" w:sz="4" w:space="0" w:color="C8CCB3" w:themeColor="accent3" w:themeTint="99"/>
        <w:insideH w:val="single" w:sz="4" w:space="0" w:color="C8CCB3" w:themeColor="accent3" w:themeTint="99"/>
      </w:tblBorders>
    </w:tblPr>
    <w:tblStylePr w:type="firstRow">
      <w:rPr>
        <w:b/>
        <w:bCs/>
        <w:color w:val="FFFFFF" w:themeColor="background1"/>
      </w:rPr>
      <w:tblPr/>
      <w:tcPr>
        <w:tcBorders>
          <w:top w:val="single" w:sz="4" w:space="0" w:color="A5AB81" w:themeColor="accent3"/>
          <w:left w:val="single" w:sz="4" w:space="0" w:color="A5AB81" w:themeColor="accent3"/>
          <w:bottom w:val="single" w:sz="4" w:space="0" w:color="A5AB81" w:themeColor="accent3"/>
          <w:right w:val="single" w:sz="4" w:space="0" w:color="A5AB81" w:themeColor="accent3"/>
          <w:insideH w:val="nil"/>
        </w:tcBorders>
        <w:shd w:val="clear" w:color="auto" w:fill="A5AB81" w:themeFill="accent3"/>
      </w:tcPr>
    </w:tblStylePr>
    <w:tblStylePr w:type="lastRow">
      <w:rPr>
        <w:b/>
        <w:bCs/>
      </w:rPr>
      <w:tblPr/>
      <w:tcPr>
        <w:tcBorders>
          <w:top w:val="double" w:sz="4" w:space="0" w:color="C8CCB3" w:themeColor="accent3" w:themeTint="99"/>
        </w:tcBorders>
      </w:tcPr>
    </w:tblStylePr>
    <w:tblStylePr w:type="firstCol">
      <w:rPr>
        <w:b/>
        <w:bCs/>
      </w:rPr>
    </w:tblStylePr>
    <w:tblStylePr w:type="lastCol">
      <w:rPr>
        <w:b/>
        <w:bCs/>
      </w:rPr>
    </w:tblStylePr>
    <w:tblStylePr w:type="band1Vert">
      <w:tblPr/>
      <w:tcPr>
        <w:shd w:val="clear" w:color="auto" w:fill="EDEEE5" w:themeFill="accent3" w:themeFillTint="33"/>
      </w:tcPr>
    </w:tblStylePr>
    <w:tblStylePr w:type="band1Horz">
      <w:tblPr/>
      <w:tcPr>
        <w:shd w:val="clear" w:color="auto" w:fill="EDEEE5" w:themeFill="accent3" w:themeFillTint="33"/>
      </w:tcPr>
    </w:tblStylePr>
  </w:style>
  <w:style w:type="table" w:customStyle="1" w:styleId="Tabladelista3-nfasis11">
    <w:name w:val="Tabla de lista 3 - Énfasis 11"/>
    <w:basedOn w:val="TableNormal"/>
    <w:uiPriority w:val="48"/>
    <w:rsid w:val="00814597"/>
    <w:pPr>
      <w:spacing w:after="0" w:line="240" w:lineRule="auto"/>
    </w:pPr>
    <w:tblPr>
      <w:tblStyleRowBandSize w:val="1"/>
      <w:tblStyleColBandSize w:val="1"/>
      <w:tblBorders>
        <w:top w:val="single" w:sz="4" w:space="0" w:color="94B6D2" w:themeColor="accent1"/>
        <w:left w:val="single" w:sz="4" w:space="0" w:color="94B6D2" w:themeColor="accent1"/>
        <w:bottom w:val="single" w:sz="4" w:space="0" w:color="94B6D2" w:themeColor="accent1"/>
        <w:right w:val="single" w:sz="4" w:space="0" w:color="94B6D2" w:themeColor="accent1"/>
      </w:tblBorders>
    </w:tblPr>
    <w:tblStylePr w:type="firstRow">
      <w:rPr>
        <w:b/>
        <w:bCs/>
        <w:color w:val="FFFFFF" w:themeColor="background1"/>
      </w:rPr>
      <w:tblPr/>
      <w:tcPr>
        <w:shd w:val="clear" w:color="auto" w:fill="94B6D2" w:themeFill="accent1"/>
      </w:tcPr>
    </w:tblStylePr>
    <w:tblStylePr w:type="lastRow">
      <w:rPr>
        <w:b/>
        <w:bCs/>
      </w:rPr>
      <w:tblPr/>
      <w:tcPr>
        <w:tcBorders>
          <w:top w:val="double" w:sz="4" w:space="0" w:color="94B6D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4B6D2" w:themeColor="accent1"/>
          <w:right w:val="single" w:sz="4" w:space="0" w:color="94B6D2" w:themeColor="accent1"/>
        </w:tcBorders>
      </w:tcPr>
    </w:tblStylePr>
    <w:tblStylePr w:type="band1Horz">
      <w:tblPr/>
      <w:tcPr>
        <w:tcBorders>
          <w:top w:val="single" w:sz="4" w:space="0" w:color="94B6D2" w:themeColor="accent1"/>
          <w:bottom w:val="single" w:sz="4" w:space="0" w:color="94B6D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4B6D2" w:themeColor="accent1"/>
          <w:left w:val="nil"/>
        </w:tcBorders>
      </w:tcPr>
    </w:tblStylePr>
    <w:tblStylePr w:type="swCell">
      <w:tblPr/>
      <w:tcPr>
        <w:tcBorders>
          <w:top w:val="double" w:sz="4" w:space="0" w:color="94B6D2" w:themeColor="accent1"/>
          <w:right w:val="nil"/>
        </w:tcBorders>
      </w:tcPr>
    </w:tblStylePr>
  </w:style>
  <w:style w:type="table" w:customStyle="1" w:styleId="Tabladecuadrcula5oscura-nfasis11">
    <w:name w:val="Tabla de cuadrícula 5 oscura - Énfasis 11"/>
    <w:basedOn w:val="TableNormal"/>
    <w:uiPriority w:val="50"/>
    <w:rsid w:val="005B2A1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F0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4B6D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4B6D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4B6D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4B6D2" w:themeFill="accent1"/>
      </w:tcPr>
    </w:tblStylePr>
    <w:tblStylePr w:type="band1Vert">
      <w:tblPr/>
      <w:tcPr>
        <w:shd w:val="clear" w:color="auto" w:fill="D4E1ED" w:themeFill="accent1" w:themeFillTint="66"/>
      </w:tcPr>
    </w:tblStylePr>
    <w:tblStylePr w:type="band1Horz">
      <w:tblPr/>
      <w:tcPr>
        <w:shd w:val="clear" w:color="auto" w:fill="D4E1ED" w:themeFill="accent1" w:themeFillTint="66"/>
      </w:tcPr>
    </w:tblStylePr>
  </w:style>
  <w:style w:type="paragraph" w:customStyle="1" w:styleId="align-justify">
    <w:name w:val="align-justify"/>
    <w:basedOn w:val="Normal"/>
    <w:rsid w:val="00986CAF"/>
    <w:pPr>
      <w:spacing w:before="100" w:beforeAutospacing="1" w:after="100" w:afterAutospacing="1" w:line="240" w:lineRule="auto"/>
    </w:pPr>
    <w:rPr>
      <w:rFonts w:ascii="Times New Roman" w:eastAsia="Times New Roman" w:hAnsi="Times New Roman"/>
      <w:kern w:val="0"/>
      <w:sz w:val="24"/>
      <w:szCs w:val="24"/>
    </w:rPr>
  </w:style>
  <w:style w:type="paragraph" w:customStyle="1" w:styleId="text1">
    <w:name w:val="text1"/>
    <w:basedOn w:val="Normal"/>
    <w:rsid w:val="00985C7E"/>
    <w:pPr>
      <w:spacing w:before="100" w:beforeAutospacing="1" w:after="100" w:afterAutospacing="1" w:line="240" w:lineRule="auto"/>
    </w:pPr>
    <w:rPr>
      <w:rFonts w:ascii="Times New Roman" w:eastAsia="Times New Roman" w:hAnsi="Times New Roman"/>
      <w:kern w:val="0"/>
      <w:sz w:val="24"/>
      <w:szCs w:val="24"/>
    </w:rPr>
  </w:style>
  <w:style w:type="paragraph" w:styleId="DocumentMap">
    <w:name w:val="Document Map"/>
    <w:basedOn w:val="Normal"/>
    <w:link w:val="DocumentMapChar"/>
    <w:uiPriority w:val="99"/>
    <w:semiHidden/>
    <w:unhideWhenUsed/>
    <w:rsid w:val="00696EEF"/>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96EEF"/>
    <w:rPr>
      <w:rFonts w:ascii="Tahoma" w:hAnsi="Tahoma" w:cs="Tahoma"/>
      <w:sz w:val="16"/>
      <w:szCs w:val="16"/>
    </w:rPr>
  </w:style>
  <w:style w:type="character" w:customStyle="1" w:styleId="hps">
    <w:name w:val="hps"/>
    <w:basedOn w:val="DefaultParagraphFont"/>
    <w:rsid w:val="001F28F3"/>
  </w:style>
  <w:style w:type="numbering" w:customStyle="1" w:styleId="Sinlista1">
    <w:name w:val="Sin lista1"/>
    <w:next w:val="NoList"/>
    <w:uiPriority w:val="99"/>
    <w:semiHidden/>
    <w:unhideWhenUsed/>
    <w:rsid w:val="00D93806"/>
  </w:style>
  <w:style w:type="paragraph" w:customStyle="1" w:styleId="Asuntodelcomentario1">
    <w:name w:val="Asunto del comentario1"/>
    <w:basedOn w:val="CommentText"/>
    <w:next w:val="CommentText"/>
    <w:uiPriority w:val="99"/>
    <w:semiHidden/>
    <w:unhideWhenUsed/>
    <w:rsid w:val="00D93806"/>
    <w:pPr>
      <w:spacing w:after="200"/>
    </w:pPr>
    <w:rPr>
      <w:b/>
      <w:bCs/>
      <w:kern w:val="0"/>
      <w:lang w:val="es-CL" w:eastAsia="en-US"/>
    </w:rPr>
  </w:style>
  <w:style w:type="character" w:customStyle="1" w:styleId="CommentSubjectChar">
    <w:name w:val="Comment Subject Char"/>
    <w:basedOn w:val="CommentTextChar"/>
    <w:link w:val="CommentSubject"/>
    <w:uiPriority w:val="99"/>
    <w:semiHidden/>
    <w:rsid w:val="00D93806"/>
    <w:rPr>
      <w:rFonts w:cs="Times New Roman"/>
      <w:b/>
      <w:bCs/>
      <w:kern w:val="24"/>
      <w:sz w:val="20"/>
      <w:szCs w:val="20"/>
      <w:lang w:val="es-MX" w:eastAsia="es-MX"/>
    </w:rPr>
  </w:style>
  <w:style w:type="paragraph" w:styleId="CommentSubject">
    <w:name w:val="annotation subject"/>
    <w:basedOn w:val="CommentText"/>
    <w:next w:val="CommentText"/>
    <w:link w:val="CommentSubjectChar"/>
    <w:uiPriority w:val="99"/>
    <w:semiHidden/>
    <w:unhideWhenUsed/>
    <w:rsid w:val="00D93806"/>
    <w:rPr>
      <w:b/>
      <w:bCs/>
    </w:rPr>
  </w:style>
  <w:style w:type="character" w:customStyle="1" w:styleId="AsuntodelcomentarioCar1">
    <w:name w:val="Asunto del comentario Car1"/>
    <w:basedOn w:val="CommentTextChar"/>
    <w:uiPriority w:val="99"/>
    <w:semiHidden/>
    <w:rsid w:val="00D93806"/>
    <w:rPr>
      <w:b/>
      <w:bCs/>
      <w:sz w:val="20"/>
    </w:rPr>
  </w:style>
  <w:style w:type="paragraph" w:styleId="Revision">
    <w:name w:val="Revision"/>
    <w:hidden/>
    <w:uiPriority w:val="99"/>
    <w:semiHidden/>
    <w:rsid w:val="00BB23BD"/>
    <w:pPr>
      <w:spacing w:after="0" w:line="240" w:lineRule="auto"/>
    </w:pPr>
  </w:style>
  <w:style w:type="paragraph" w:customStyle="1" w:styleId="CM4">
    <w:name w:val="CM4"/>
    <w:basedOn w:val="Default"/>
    <w:next w:val="Default"/>
    <w:uiPriority w:val="99"/>
    <w:rsid w:val="00352D4E"/>
    <w:rPr>
      <w:rFonts w:ascii="EUAlbertina" w:hAnsi="EUAlbertina" w:cs="Times New Roman"/>
      <w:color w:val="auto"/>
      <w:lang w:val="es-MX"/>
    </w:rPr>
  </w:style>
  <w:style w:type="table" w:customStyle="1" w:styleId="Tabladelista3-nfasis12">
    <w:name w:val="Tabla de lista 3 - Énfasis 12"/>
    <w:basedOn w:val="TableNormal"/>
    <w:uiPriority w:val="48"/>
    <w:rsid w:val="006F63FE"/>
    <w:pPr>
      <w:spacing w:after="0" w:line="240" w:lineRule="auto"/>
    </w:pPr>
    <w:tblPr>
      <w:tblStyleRowBandSize w:val="1"/>
      <w:tblStyleColBandSize w:val="1"/>
      <w:tblBorders>
        <w:top w:val="single" w:sz="4" w:space="0" w:color="94B6D2" w:themeColor="accent1"/>
        <w:left w:val="single" w:sz="4" w:space="0" w:color="94B6D2" w:themeColor="accent1"/>
        <w:bottom w:val="single" w:sz="4" w:space="0" w:color="94B6D2" w:themeColor="accent1"/>
        <w:right w:val="single" w:sz="4" w:space="0" w:color="94B6D2" w:themeColor="accent1"/>
      </w:tblBorders>
    </w:tblPr>
    <w:tblStylePr w:type="firstRow">
      <w:rPr>
        <w:b/>
        <w:bCs/>
        <w:color w:val="FFFFFF" w:themeColor="background1"/>
      </w:rPr>
      <w:tblPr/>
      <w:tcPr>
        <w:shd w:val="clear" w:color="auto" w:fill="94B6D2" w:themeFill="accent1"/>
      </w:tcPr>
    </w:tblStylePr>
    <w:tblStylePr w:type="lastRow">
      <w:rPr>
        <w:b/>
        <w:bCs/>
      </w:rPr>
      <w:tblPr/>
      <w:tcPr>
        <w:tcBorders>
          <w:top w:val="double" w:sz="4" w:space="0" w:color="94B6D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4B6D2" w:themeColor="accent1"/>
          <w:right w:val="single" w:sz="4" w:space="0" w:color="94B6D2" w:themeColor="accent1"/>
        </w:tcBorders>
      </w:tcPr>
    </w:tblStylePr>
    <w:tblStylePr w:type="band1Horz">
      <w:tblPr/>
      <w:tcPr>
        <w:tcBorders>
          <w:top w:val="single" w:sz="4" w:space="0" w:color="94B6D2" w:themeColor="accent1"/>
          <w:bottom w:val="single" w:sz="4" w:space="0" w:color="94B6D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4B6D2" w:themeColor="accent1"/>
          <w:left w:val="nil"/>
        </w:tcBorders>
      </w:tcPr>
    </w:tblStylePr>
    <w:tblStylePr w:type="swCell">
      <w:tblPr/>
      <w:tcPr>
        <w:tcBorders>
          <w:top w:val="double" w:sz="4" w:space="0" w:color="94B6D2" w:themeColor="accent1"/>
          <w:right w:val="nil"/>
        </w:tcBorders>
      </w:tcPr>
    </w:tblStylePr>
  </w:style>
  <w:style w:type="character" w:customStyle="1" w:styleId="NoSpacingChar">
    <w:name w:val="No Spacing Char"/>
    <w:basedOn w:val="DefaultParagraphFont"/>
    <w:link w:val="NoSpacing"/>
    <w:uiPriority w:val="1"/>
    <w:rsid w:val="0024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23664">
      <w:bodyDiv w:val="1"/>
      <w:marLeft w:val="0"/>
      <w:marRight w:val="0"/>
      <w:marTop w:val="0"/>
      <w:marBottom w:val="0"/>
      <w:divBdr>
        <w:top w:val="none" w:sz="0" w:space="0" w:color="auto"/>
        <w:left w:val="none" w:sz="0" w:space="0" w:color="auto"/>
        <w:bottom w:val="none" w:sz="0" w:space="0" w:color="auto"/>
        <w:right w:val="none" w:sz="0" w:space="0" w:color="auto"/>
      </w:divBdr>
    </w:div>
    <w:div w:id="52047094">
      <w:bodyDiv w:val="1"/>
      <w:marLeft w:val="0"/>
      <w:marRight w:val="0"/>
      <w:marTop w:val="0"/>
      <w:marBottom w:val="0"/>
      <w:divBdr>
        <w:top w:val="none" w:sz="0" w:space="0" w:color="auto"/>
        <w:left w:val="none" w:sz="0" w:space="0" w:color="auto"/>
        <w:bottom w:val="none" w:sz="0" w:space="0" w:color="auto"/>
        <w:right w:val="none" w:sz="0" w:space="0" w:color="auto"/>
      </w:divBdr>
    </w:div>
    <w:div w:id="65150346">
      <w:bodyDiv w:val="1"/>
      <w:marLeft w:val="0"/>
      <w:marRight w:val="0"/>
      <w:marTop w:val="0"/>
      <w:marBottom w:val="0"/>
      <w:divBdr>
        <w:top w:val="none" w:sz="0" w:space="0" w:color="auto"/>
        <w:left w:val="none" w:sz="0" w:space="0" w:color="auto"/>
        <w:bottom w:val="none" w:sz="0" w:space="0" w:color="auto"/>
        <w:right w:val="none" w:sz="0" w:space="0" w:color="auto"/>
      </w:divBdr>
    </w:div>
    <w:div w:id="133106174">
      <w:bodyDiv w:val="1"/>
      <w:marLeft w:val="0"/>
      <w:marRight w:val="0"/>
      <w:marTop w:val="0"/>
      <w:marBottom w:val="0"/>
      <w:divBdr>
        <w:top w:val="none" w:sz="0" w:space="0" w:color="auto"/>
        <w:left w:val="none" w:sz="0" w:space="0" w:color="auto"/>
        <w:bottom w:val="none" w:sz="0" w:space="0" w:color="auto"/>
        <w:right w:val="none" w:sz="0" w:space="0" w:color="auto"/>
      </w:divBdr>
      <w:divsChild>
        <w:div w:id="1970280892">
          <w:marLeft w:val="1166"/>
          <w:marRight w:val="0"/>
          <w:marTop w:val="125"/>
          <w:marBottom w:val="0"/>
          <w:divBdr>
            <w:top w:val="none" w:sz="0" w:space="0" w:color="auto"/>
            <w:left w:val="none" w:sz="0" w:space="0" w:color="auto"/>
            <w:bottom w:val="none" w:sz="0" w:space="0" w:color="auto"/>
            <w:right w:val="none" w:sz="0" w:space="0" w:color="auto"/>
          </w:divBdr>
        </w:div>
        <w:div w:id="1698196868">
          <w:marLeft w:val="1166"/>
          <w:marRight w:val="0"/>
          <w:marTop w:val="125"/>
          <w:marBottom w:val="0"/>
          <w:divBdr>
            <w:top w:val="none" w:sz="0" w:space="0" w:color="auto"/>
            <w:left w:val="none" w:sz="0" w:space="0" w:color="auto"/>
            <w:bottom w:val="none" w:sz="0" w:space="0" w:color="auto"/>
            <w:right w:val="none" w:sz="0" w:space="0" w:color="auto"/>
          </w:divBdr>
        </w:div>
        <w:div w:id="402528276">
          <w:marLeft w:val="1166"/>
          <w:marRight w:val="0"/>
          <w:marTop w:val="125"/>
          <w:marBottom w:val="0"/>
          <w:divBdr>
            <w:top w:val="none" w:sz="0" w:space="0" w:color="auto"/>
            <w:left w:val="none" w:sz="0" w:space="0" w:color="auto"/>
            <w:bottom w:val="none" w:sz="0" w:space="0" w:color="auto"/>
            <w:right w:val="none" w:sz="0" w:space="0" w:color="auto"/>
          </w:divBdr>
        </w:div>
        <w:div w:id="2124566377">
          <w:marLeft w:val="1166"/>
          <w:marRight w:val="0"/>
          <w:marTop w:val="125"/>
          <w:marBottom w:val="0"/>
          <w:divBdr>
            <w:top w:val="none" w:sz="0" w:space="0" w:color="auto"/>
            <w:left w:val="none" w:sz="0" w:space="0" w:color="auto"/>
            <w:bottom w:val="none" w:sz="0" w:space="0" w:color="auto"/>
            <w:right w:val="none" w:sz="0" w:space="0" w:color="auto"/>
          </w:divBdr>
        </w:div>
      </w:divsChild>
    </w:div>
    <w:div w:id="168444340">
      <w:bodyDiv w:val="1"/>
      <w:marLeft w:val="0"/>
      <w:marRight w:val="0"/>
      <w:marTop w:val="0"/>
      <w:marBottom w:val="0"/>
      <w:divBdr>
        <w:top w:val="none" w:sz="0" w:space="0" w:color="auto"/>
        <w:left w:val="none" w:sz="0" w:space="0" w:color="auto"/>
        <w:bottom w:val="none" w:sz="0" w:space="0" w:color="auto"/>
        <w:right w:val="none" w:sz="0" w:space="0" w:color="auto"/>
      </w:divBdr>
    </w:div>
    <w:div w:id="248585400">
      <w:bodyDiv w:val="1"/>
      <w:marLeft w:val="0"/>
      <w:marRight w:val="0"/>
      <w:marTop w:val="0"/>
      <w:marBottom w:val="0"/>
      <w:divBdr>
        <w:top w:val="none" w:sz="0" w:space="0" w:color="auto"/>
        <w:left w:val="none" w:sz="0" w:space="0" w:color="auto"/>
        <w:bottom w:val="none" w:sz="0" w:space="0" w:color="auto"/>
        <w:right w:val="none" w:sz="0" w:space="0" w:color="auto"/>
      </w:divBdr>
      <w:divsChild>
        <w:div w:id="2019967862">
          <w:marLeft w:val="0"/>
          <w:marRight w:val="0"/>
          <w:marTop w:val="0"/>
          <w:marBottom w:val="600"/>
          <w:divBdr>
            <w:top w:val="none" w:sz="0" w:space="0" w:color="auto"/>
            <w:left w:val="single" w:sz="6" w:space="0" w:color="D0D0D0"/>
            <w:bottom w:val="single" w:sz="6" w:space="0" w:color="D0D0D0"/>
            <w:right w:val="single" w:sz="6" w:space="0" w:color="D0D0D0"/>
          </w:divBdr>
          <w:divsChild>
            <w:div w:id="412513611">
              <w:marLeft w:val="0"/>
              <w:marRight w:val="0"/>
              <w:marTop w:val="0"/>
              <w:marBottom w:val="0"/>
              <w:divBdr>
                <w:top w:val="none" w:sz="0" w:space="0" w:color="auto"/>
                <w:left w:val="none" w:sz="0" w:space="0" w:color="auto"/>
                <w:bottom w:val="none" w:sz="0" w:space="0" w:color="auto"/>
                <w:right w:val="none" w:sz="0" w:space="0" w:color="auto"/>
              </w:divBdr>
              <w:divsChild>
                <w:div w:id="1268657623">
                  <w:marLeft w:val="0"/>
                  <w:marRight w:val="0"/>
                  <w:marTop w:val="0"/>
                  <w:marBottom w:val="0"/>
                  <w:divBdr>
                    <w:top w:val="none" w:sz="0" w:space="0" w:color="auto"/>
                    <w:left w:val="none" w:sz="0" w:space="0" w:color="auto"/>
                    <w:bottom w:val="none" w:sz="0" w:space="0" w:color="auto"/>
                    <w:right w:val="none" w:sz="0" w:space="0" w:color="auto"/>
                  </w:divBdr>
                  <w:divsChild>
                    <w:div w:id="2115250668">
                      <w:marLeft w:val="-75"/>
                      <w:marRight w:val="0"/>
                      <w:marTop w:val="0"/>
                      <w:marBottom w:val="0"/>
                      <w:divBdr>
                        <w:top w:val="none" w:sz="0" w:space="0" w:color="auto"/>
                        <w:left w:val="none" w:sz="0" w:space="0" w:color="auto"/>
                        <w:bottom w:val="none" w:sz="0" w:space="0" w:color="auto"/>
                        <w:right w:val="none" w:sz="0" w:space="0" w:color="auto"/>
                      </w:divBdr>
                      <w:divsChild>
                        <w:div w:id="362555735">
                          <w:marLeft w:val="0"/>
                          <w:marRight w:val="0"/>
                          <w:marTop w:val="0"/>
                          <w:marBottom w:val="0"/>
                          <w:divBdr>
                            <w:top w:val="none" w:sz="0" w:space="0" w:color="auto"/>
                            <w:left w:val="none" w:sz="0" w:space="0" w:color="auto"/>
                            <w:bottom w:val="none" w:sz="0" w:space="0" w:color="auto"/>
                            <w:right w:val="none" w:sz="0" w:space="0" w:color="auto"/>
                          </w:divBdr>
                          <w:divsChild>
                            <w:div w:id="1884781697">
                              <w:marLeft w:val="0"/>
                              <w:marRight w:val="0"/>
                              <w:marTop w:val="0"/>
                              <w:marBottom w:val="0"/>
                              <w:divBdr>
                                <w:top w:val="none" w:sz="0" w:space="0" w:color="auto"/>
                                <w:left w:val="none" w:sz="0" w:space="0" w:color="auto"/>
                                <w:bottom w:val="none" w:sz="0" w:space="0" w:color="auto"/>
                                <w:right w:val="none" w:sz="0" w:space="0" w:color="auto"/>
                              </w:divBdr>
                              <w:divsChild>
                                <w:div w:id="1926065453">
                                  <w:marLeft w:val="0"/>
                                  <w:marRight w:val="0"/>
                                  <w:marTop w:val="0"/>
                                  <w:marBottom w:val="0"/>
                                  <w:divBdr>
                                    <w:top w:val="none" w:sz="0" w:space="0" w:color="auto"/>
                                    <w:left w:val="none" w:sz="0" w:space="0" w:color="auto"/>
                                    <w:bottom w:val="none" w:sz="0" w:space="0" w:color="auto"/>
                                    <w:right w:val="none" w:sz="0" w:space="0" w:color="auto"/>
                                  </w:divBdr>
                                  <w:divsChild>
                                    <w:div w:id="977955307">
                                      <w:marLeft w:val="0"/>
                                      <w:marRight w:val="0"/>
                                      <w:marTop w:val="0"/>
                                      <w:marBottom w:val="0"/>
                                      <w:divBdr>
                                        <w:top w:val="none" w:sz="0" w:space="0" w:color="auto"/>
                                        <w:left w:val="none" w:sz="0" w:space="0" w:color="auto"/>
                                        <w:bottom w:val="none" w:sz="0" w:space="0" w:color="auto"/>
                                        <w:right w:val="none" w:sz="0" w:space="0" w:color="auto"/>
                                      </w:divBdr>
                                      <w:divsChild>
                                        <w:div w:id="187137351">
                                          <w:marLeft w:val="0"/>
                                          <w:marRight w:val="0"/>
                                          <w:marTop w:val="0"/>
                                          <w:marBottom w:val="0"/>
                                          <w:divBdr>
                                            <w:top w:val="none" w:sz="0" w:space="0" w:color="auto"/>
                                            <w:left w:val="none" w:sz="0" w:space="0" w:color="auto"/>
                                            <w:bottom w:val="none" w:sz="0" w:space="0" w:color="auto"/>
                                            <w:right w:val="none" w:sz="0" w:space="0" w:color="auto"/>
                                          </w:divBdr>
                                          <w:divsChild>
                                            <w:div w:id="261764160">
                                              <w:marLeft w:val="0"/>
                                              <w:marRight w:val="0"/>
                                              <w:marTop w:val="0"/>
                                              <w:marBottom w:val="300"/>
                                              <w:divBdr>
                                                <w:top w:val="none" w:sz="0" w:space="0" w:color="auto"/>
                                                <w:left w:val="none" w:sz="0" w:space="0" w:color="auto"/>
                                                <w:bottom w:val="none" w:sz="0" w:space="0" w:color="auto"/>
                                                <w:right w:val="none" w:sz="0" w:space="0" w:color="auto"/>
                                              </w:divBdr>
                                              <w:divsChild>
                                                <w:div w:id="883098611">
                                                  <w:marLeft w:val="315"/>
                                                  <w:marRight w:val="300"/>
                                                  <w:marTop w:val="150"/>
                                                  <w:marBottom w:val="360"/>
                                                  <w:divBdr>
                                                    <w:top w:val="none" w:sz="0" w:space="0" w:color="auto"/>
                                                    <w:left w:val="none" w:sz="0" w:space="0" w:color="auto"/>
                                                    <w:bottom w:val="none" w:sz="0" w:space="0" w:color="auto"/>
                                                    <w:right w:val="none" w:sz="0" w:space="0" w:color="auto"/>
                                                  </w:divBdr>
                                                  <w:divsChild>
                                                    <w:div w:id="1101952116">
                                                      <w:marLeft w:val="0"/>
                                                      <w:marRight w:val="0"/>
                                                      <w:marTop w:val="0"/>
                                                      <w:marBottom w:val="0"/>
                                                      <w:divBdr>
                                                        <w:top w:val="none" w:sz="0" w:space="0" w:color="auto"/>
                                                        <w:left w:val="none" w:sz="0" w:space="0" w:color="auto"/>
                                                        <w:bottom w:val="none" w:sz="0" w:space="0" w:color="auto"/>
                                                        <w:right w:val="none" w:sz="0" w:space="0" w:color="auto"/>
                                                      </w:divBdr>
                                                      <w:divsChild>
                                                        <w:div w:id="145702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70939381">
      <w:bodyDiv w:val="1"/>
      <w:marLeft w:val="0"/>
      <w:marRight w:val="0"/>
      <w:marTop w:val="0"/>
      <w:marBottom w:val="0"/>
      <w:divBdr>
        <w:top w:val="none" w:sz="0" w:space="0" w:color="auto"/>
        <w:left w:val="none" w:sz="0" w:space="0" w:color="auto"/>
        <w:bottom w:val="none" w:sz="0" w:space="0" w:color="auto"/>
        <w:right w:val="none" w:sz="0" w:space="0" w:color="auto"/>
      </w:divBdr>
    </w:div>
    <w:div w:id="287664538">
      <w:bodyDiv w:val="1"/>
      <w:marLeft w:val="0"/>
      <w:marRight w:val="0"/>
      <w:marTop w:val="0"/>
      <w:marBottom w:val="0"/>
      <w:divBdr>
        <w:top w:val="none" w:sz="0" w:space="0" w:color="auto"/>
        <w:left w:val="none" w:sz="0" w:space="0" w:color="auto"/>
        <w:bottom w:val="none" w:sz="0" w:space="0" w:color="auto"/>
        <w:right w:val="none" w:sz="0" w:space="0" w:color="auto"/>
      </w:divBdr>
    </w:div>
    <w:div w:id="297691947">
      <w:bodyDiv w:val="1"/>
      <w:marLeft w:val="0"/>
      <w:marRight w:val="0"/>
      <w:marTop w:val="0"/>
      <w:marBottom w:val="0"/>
      <w:divBdr>
        <w:top w:val="none" w:sz="0" w:space="0" w:color="auto"/>
        <w:left w:val="none" w:sz="0" w:space="0" w:color="auto"/>
        <w:bottom w:val="none" w:sz="0" w:space="0" w:color="auto"/>
        <w:right w:val="none" w:sz="0" w:space="0" w:color="auto"/>
      </w:divBdr>
    </w:div>
    <w:div w:id="381177809">
      <w:bodyDiv w:val="1"/>
      <w:marLeft w:val="0"/>
      <w:marRight w:val="0"/>
      <w:marTop w:val="0"/>
      <w:marBottom w:val="0"/>
      <w:divBdr>
        <w:top w:val="none" w:sz="0" w:space="0" w:color="auto"/>
        <w:left w:val="none" w:sz="0" w:space="0" w:color="auto"/>
        <w:bottom w:val="none" w:sz="0" w:space="0" w:color="auto"/>
        <w:right w:val="none" w:sz="0" w:space="0" w:color="auto"/>
      </w:divBdr>
    </w:div>
    <w:div w:id="384254867">
      <w:bodyDiv w:val="1"/>
      <w:marLeft w:val="0"/>
      <w:marRight w:val="0"/>
      <w:marTop w:val="0"/>
      <w:marBottom w:val="0"/>
      <w:divBdr>
        <w:top w:val="none" w:sz="0" w:space="0" w:color="auto"/>
        <w:left w:val="none" w:sz="0" w:space="0" w:color="auto"/>
        <w:bottom w:val="none" w:sz="0" w:space="0" w:color="auto"/>
        <w:right w:val="none" w:sz="0" w:space="0" w:color="auto"/>
      </w:divBdr>
    </w:div>
    <w:div w:id="403722432">
      <w:bodyDiv w:val="1"/>
      <w:marLeft w:val="0"/>
      <w:marRight w:val="0"/>
      <w:marTop w:val="0"/>
      <w:marBottom w:val="0"/>
      <w:divBdr>
        <w:top w:val="none" w:sz="0" w:space="0" w:color="auto"/>
        <w:left w:val="none" w:sz="0" w:space="0" w:color="auto"/>
        <w:bottom w:val="none" w:sz="0" w:space="0" w:color="auto"/>
        <w:right w:val="none" w:sz="0" w:space="0" w:color="auto"/>
      </w:divBdr>
    </w:div>
    <w:div w:id="417752770">
      <w:bodyDiv w:val="1"/>
      <w:marLeft w:val="0"/>
      <w:marRight w:val="0"/>
      <w:marTop w:val="0"/>
      <w:marBottom w:val="0"/>
      <w:divBdr>
        <w:top w:val="none" w:sz="0" w:space="0" w:color="auto"/>
        <w:left w:val="none" w:sz="0" w:space="0" w:color="auto"/>
        <w:bottom w:val="none" w:sz="0" w:space="0" w:color="auto"/>
        <w:right w:val="none" w:sz="0" w:space="0" w:color="auto"/>
      </w:divBdr>
    </w:div>
    <w:div w:id="465973169">
      <w:bodyDiv w:val="1"/>
      <w:marLeft w:val="0"/>
      <w:marRight w:val="0"/>
      <w:marTop w:val="0"/>
      <w:marBottom w:val="0"/>
      <w:divBdr>
        <w:top w:val="none" w:sz="0" w:space="0" w:color="auto"/>
        <w:left w:val="none" w:sz="0" w:space="0" w:color="auto"/>
        <w:bottom w:val="none" w:sz="0" w:space="0" w:color="auto"/>
        <w:right w:val="none" w:sz="0" w:space="0" w:color="auto"/>
      </w:divBdr>
    </w:div>
    <w:div w:id="519903167">
      <w:bodyDiv w:val="1"/>
      <w:marLeft w:val="0"/>
      <w:marRight w:val="0"/>
      <w:marTop w:val="0"/>
      <w:marBottom w:val="0"/>
      <w:divBdr>
        <w:top w:val="none" w:sz="0" w:space="0" w:color="auto"/>
        <w:left w:val="none" w:sz="0" w:space="0" w:color="auto"/>
        <w:bottom w:val="none" w:sz="0" w:space="0" w:color="auto"/>
        <w:right w:val="none" w:sz="0" w:space="0" w:color="auto"/>
      </w:divBdr>
    </w:div>
    <w:div w:id="537204423">
      <w:bodyDiv w:val="1"/>
      <w:marLeft w:val="0"/>
      <w:marRight w:val="0"/>
      <w:marTop w:val="0"/>
      <w:marBottom w:val="0"/>
      <w:divBdr>
        <w:top w:val="none" w:sz="0" w:space="0" w:color="auto"/>
        <w:left w:val="none" w:sz="0" w:space="0" w:color="auto"/>
        <w:bottom w:val="none" w:sz="0" w:space="0" w:color="auto"/>
        <w:right w:val="none" w:sz="0" w:space="0" w:color="auto"/>
      </w:divBdr>
    </w:div>
    <w:div w:id="551969358">
      <w:bodyDiv w:val="1"/>
      <w:marLeft w:val="0"/>
      <w:marRight w:val="0"/>
      <w:marTop w:val="0"/>
      <w:marBottom w:val="0"/>
      <w:divBdr>
        <w:top w:val="none" w:sz="0" w:space="0" w:color="auto"/>
        <w:left w:val="none" w:sz="0" w:space="0" w:color="auto"/>
        <w:bottom w:val="none" w:sz="0" w:space="0" w:color="auto"/>
        <w:right w:val="none" w:sz="0" w:space="0" w:color="auto"/>
      </w:divBdr>
    </w:div>
    <w:div w:id="552473270">
      <w:bodyDiv w:val="1"/>
      <w:marLeft w:val="0"/>
      <w:marRight w:val="0"/>
      <w:marTop w:val="0"/>
      <w:marBottom w:val="0"/>
      <w:divBdr>
        <w:top w:val="none" w:sz="0" w:space="0" w:color="auto"/>
        <w:left w:val="none" w:sz="0" w:space="0" w:color="auto"/>
        <w:bottom w:val="none" w:sz="0" w:space="0" w:color="auto"/>
        <w:right w:val="none" w:sz="0" w:space="0" w:color="auto"/>
      </w:divBdr>
    </w:div>
    <w:div w:id="605575252">
      <w:bodyDiv w:val="1"/>
      <w:marLeft w:val="0"/>
      <w:marRight w:val="0"/>
      <w:marTop w:val="0"/>
      <w:marBottom w:val="0"/>
      <w:divBdr>
        <w:top w:val="none" w:sz="0" w:space="0" w:color="auto"/>
        <w:left w:val="none" w:sz="0" w:space="0" w:color="auto"/>
        <w:bottom w:val="none" w:sz="0" w:space="0" w:color="auto"/>
        <w:right w:val="none" w:sz="0" w:space="0" w:color="auto"/>
      </w:divBdr>
      <w:divsChild>
        <w:div w:id="1407848587">
          <w:marLeft w:val="0"/>
          <w:marRight w:val="0"/>
          <w:marTop w:val="0"/>
          <w:marBottom w:val="0"/>
          <w:divBdr>
            <w:top w:val="none" w:sz="0" w:space="0" w:color="auto"/>
            <w:left w:val="none" w:sz="0" w:space="0" w:color="auto"/>
            <w:bottom w:val="none" w:sz="0" w:space="0" w:color="auto"/>
            <w:right w:val="none" w:sz="0" w:space="0" w:color="auto"/>
          </w:divBdr>
          <w:divsChild>
            <w:div w:id="83129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347194">
      <w:bodyDiv w:val="1"/>
      <w:marLeft w:val="0"/>
      <w:marRight w:val="0"/>
      <w:marTop w:val="0"/>
      <w:marBottom w:val="0"/>
      <w:divBdr>
        <w:top w:val="none" w:sz="0" w:space="0" w:color="auto"/>
        <w:left w:val="none" w:sz="0" w:space="0" w:color="auto"/>
        <w:bottom w:val="none" w:sz="0" w:space="0" w:color="auto"/>
        <w:right w:val="none" w:sz="0" w:space="0" w:color="auto"/>
      </w:divBdr>
    </w:div>
    <w:div w:id="748961062">
      <w:bodyDiv w:val="1"/>
      <w:marLeft w:val="0"/>
      <w:marRight w:val="0"/>
      <w:marTop w:val="0"/>
      <w:marBottom w:val="0"/>
      <w:divBdr>
        <w:top w:val="none" w:sz="0" w:space="0" w:color="auto"/>
        <w:left w:val="none" w:sz="0" w:space="0" w:color="auto"/>
        <w:bottom w:val="none" w:sz="0" w:space="0" w:color="auto"/>
        <w:right w:val="none" w:sz="0" w:space="0" w:color="auto"/>
      </w:divBdr>
    </w:div>
    <w:div w:id="798230369">
      <w:bodyDiv w:val="1"/>
      <w:marLeft w:val="0"/>
      <w:marRight w:val="0"/>
      <w:marTop w:val="0"/>
      <w:marBottom w:val="0"/>
      <w:divBdr>
        <w:top w:val="none" w:sz="0" w:space="0" w:color="auto"/>
        <w:left w:val="none" w:sz="0" w:space="0" w:color="auto"/>
        <w:bottom w:val="none" w:sz="0" w:space="0" w:color="auto"/>
        <w:right w:val="none" w:sz="0" w:space="0" w:color="auto"/>
      </w:divBdr>
    </w:div>
    <w:div w:id="1018310148">
      <w:bodyDiv w:val="1"/>
      <w:marLeft w:val="0"/>
      <w:marRight w:val="0"/>
      <w:marTop w:val="0"/>
      <w:marBottom w:val="0"/>
      <w:divBdr>
        <w:top w:val="none" w:sz="0" w:space="0" w:color="auto"/>
        <w:left w:val="none" w:sz="0" w:space="0" w:color="auto"/>
        <w:bottom w:val="none" w:sz="0" w:space="0" w:color="auto"/>
        <w:right w:val="none" w:sz="0" w:space="0" w:color="auto"/>
      </w:divBdr>
      <w:divsChild>
        <w:div w:id="339284017">
          <w:marLeft w:val="0"/>
          <w:marRight w:val="0"/>
          <w:marTop w:val="0"/>
          <w:marBottom w:val="0"/>
          <w:divBdr>
            <w:top w:val="none" w:sz="0" w:space="0" w:color="auto"/>
            <w:left w:val="none" w:sz="0" w:space="0" w:color="auto"/>
            <w:bottom w:val="none" w:sz="0" w:space="0" w:color="auto"/>
            <w:right w:val="none" w:sz="0" w:space="0" w:color="auto"/>
          </w:divBdr>
          <w:divsChild>
            <w:div w:id="1662346111">
              <w:marLeft w:val="0"/>
              <w:marRight w:val="0"/>
              <w:marTop w:val="0"/>
              <w:marBottom w:val="0"/>
              <w:divBdr>
                <w:top w:val="none" w:sz="0" w:space="0" w:color="auto"/>
                <w:left w:val="none" w:sz="0" w:space="0" w:color="auto"/>
                <w:bottom w:val="none" w:sz="0" w:space="0" w:color="auto"/>
                <w:right w:val="none" w:sz="0" w:space="0" w:color="auto"/>
              </w:divBdr>
            </w:div>
            <w:div w:id="104294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919373">
      <w:bodyDiv w:val="1"/>
      <w:marLeft w:val="0"/>
      <w:marRight w:val="0"/>
      <w:marTop w:val="0"/>
      <w:marBottom w:val="0"/>
      <w:divBdr>
        <w:top w:val="none" w:sz="0" w:space="0" w:color="auto"/>
        <w:left w:val="none" w:sz="0" w:space="0" w:color="auto"/>
        <w:bottom w:val="none" w:sz="0" w:space="0" w:color="auto"/>
        <w:right w:val="none" w:sz="0" w:space="0" w:color="auto"/>
      </w:divBdr>
      <w:divsChild>
        <w:div w:id="1556236668">
          <w:marLeft w:val="0"/>
          <w:marRight w:val="0"/>
          <w:marTop w:val="0"/>
          <w:marBottom w:val="0"/>
          <w:divBdr>
            <w:top w:val="none" w:sz="0" w:space="0" w:color="auto"/>
            <w:left w:val="none" w:sz="0" w:space="0" w:color="auto"/>
            <w:bottom w:val="none" w:sz="0" w:space="0" w:color="auto"/>
            <w:right w:val="none" w:sz="0" w:space="0" w:color="auto"/>
          </w:divBdr>
          <w:divsChild>
            <w:div w:id="859052233">
              <w:marLeft w:val="0"/>
              <w:marRight w:val="0"/>
              <w:marTop w:val="0"/>
              <w:marBottom w:val="0"/>
              <w:divBdr>
                <w:top w:val="none" w:sz="0" w:space="0" w:color="auto"/>
                <w:left w:val="none" w:sz="0" w:space="0" w:color="auto"/>
                <w:bottom w:val="none" w:sz="0" w:space="0" w:color="auto"/>
                <w:right w:val="none" w:sz="0" w:space="0" w:color="auto"/>
              </w:divBdr>
              <w:divsChild>
                <w:div w:id="1299804836">
                  <w:marLeft w:val="0"/>
                  <w:marRight w:val="0"/>
                  <w:marTop w:val="0"/>
                  <w:marBottom w:val="0"/>
                  <w:divBdr>
                    <w:top w:val="none" w:sz="0" w:space="0" w:color="auto"/>
                    <w:left w:val="none" w:sz="0" w:space="0" w:color="auto"/>
                    <w:bottom w:val="none" w:sz="0" w:space="0" w:color="auto"/>
                    <w:right w:val="none" w:sz="0" w:space="0" w:color="auto"/>
                  </w:divBdr>
                  <w:divsChild>
                    <w:div w:id="1877236818">
                      <w:marLeft w:val="97"/>
                      <w:marRight w:val="97"/>
                      <w:marTop w:val="0"/>
                      <w:marBottom w:val="0"/>
                      <w:divBdr>
                        <w:top w:val="none" w:sz="0" w:space="0" w:color="auto"/>
                        <w:left w:val="none" w:sz="0" w:space="0" w:color="auto"/>
                        <w:bottom w:val="none" w:sz="0" w:space="0" w:color="auto"/>
                        <w:right w:val="none" w:sz="0" w:space="0" w:color="auto"/>
                      </w:divBdr>
                      <w:divsChild>
                        <w:div w:id="442961934">
                          <w:marLeft w:val="0"/>
                          <w:marRight w:val="0"/>
                          <w:marTop w:val="0"/>
                          <w:marBottom w:val="0"/>
                          <w:divBdr>
                            <w:top w:val="none" w:sz="0" w:space="0" w:color="auto"/>
                            <w:left w:val="none" w:sz="0" w:space="0" w:color="auto"/>
                            <w:bottom w:val="none" w:sz="0" w:space="0" w:color="auto"/>
                            <w:right w:val="none" w:sz="0" w:space="0" w:color="auto"/>
                          </w:divBdr>
                          <w:divsChild>
                            <w:div w:id="1649171049">
                              <w:marLeft w:val="0"/>
                              <w:marRight w:val="0"/>
                              <w:marTop w:val="0"/>
                              <w:marBottom w:val="0"/>
                              <w:divBdr>
                                <w:top w:val="none" w:sz="0" w:space="0" w:color="auto"/>
                                <w:left w:val="none" w:sz="0" w:space="0" w:color="auto"/>
                                <w:bottom w:val="none" w:sz="0" w:space="0" w:color="auto"/>
                                <w:right w:val="none" w:sz="0" w:space="0" w:color="auto"/>
                              </w:divBdr>
                              <w:divsChild>
                                <w:div w:id="1799496125">
                                  <w:marLeft w:val="0"/>
                                  <w:marRight w:val="0"/>
                                  <w:marTop w:val="0"/>
                                  <w:marBottom w:val="0"/>
                                  <w:divBdr>
                                    <w:top w:val="none" w:sz="0" w:space="0" w:color="auto"/>
                                    <w:left w:val="none" w:sz="0" w:space="0" w:color="auto"/>
                                    <w:bottom w:val="none" w:sz="0" w:space="0" w:color="auto"/>
                                    <w:right w:val="none" w:sz="0" w:space="0" w:color="auto"/>
                                  </w:divBdr>
                                  <w:divsChild>
                                    <w:div w:id="2132360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9269661">
      <w:bodyDiv w:val="1"/>
      <w:marLeft w:val="0"/>
      <w:marRight w:val="0"/>
      <w:marTop w:val="0"/>
      <w:marBottom w:val="0"/>
      <w:divBdr>
        <w:top w:val="none" w:sz="0" w:space="0" w:color="auto"/>
        <w:left w:val="none" w:sz="0" w:space="0" w:color="auto"/>
        <w:bottom w:val="none" w:sz="0" w:space="0" w:color="auto"/>
        <w:right w:val="none" w:sz="0" w:space="0" w:color="auto"/>
      </w:divBdr>
    </w:div>
    <w:div w:id="1250041059">
      <w:bodyDiv w:val="1"/>
      <w:marLeft w:val="0"/>
      <w:marRight w:val="0"/>
      <w:marTop w:val="0"/>
      <w:marBottom w:val="0"/>
      <w:divBdr>
        <w:top w:val="none" w:sz="0" w:space="0" w:color="auto"/>
        <w:left w:val="none" w:sz="0" w:space="0" w:color="auto"/>
        <w:bottom w:val="none" w:sz="0" w:space="0" w:color="auto"/>
        <w:right w:val="none" w:sz="0" w:space="0" w:color="auto"/>
      </w:divBdr>
      <w:divsChild>
        <w:div w:id="963343067">
          <w:marLeft w:val="0"/>
          <w:marRight w:val="0"/>
          <w:marTop w:val="0"/>
          <w:marBottom w:val="0"/>
          <w:divBdr>
            <w:top w:val="none" w:sz="0" w:space="0" w:color="auto"/>
            <w:left w:val="none" w:sz="0" w:space="0" w:color="auto"/>
            <w:bottom w:val="none" w:sz="0" w:space="0" w:color="auto"/>
            <w:right w:val="none" w:sz="0" w:space="0" w:color="auto"/>
          </w:divBdr>
          <w:divsChild>
            <w:div w:id="30150110">
              <w:marLeft w:val="0"/>
              <w:marRight w:val="0"/>
              <w:marTop w:val="0"/>
              <w:marBottom w:val="0"/>
              <w:divBdr>
                <w:top w:val="none" w:sz="0" w:space="0" w:color="auto"/>
                <w:left w:val="none" w:sz="0" w:space="0" w:color="auto"/>
                <w:bottom w:val="none" w:sz="0" w:space="0" w:color="auto"/>
                <w:right w:val="none" w:sz="0" w:space="0" w:color="auto"/>
              </w:divBdr>
            </w:div>
            <w:div w:id="104995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211126">
      <w:bodyDiv w:val="1"/>
      <w:marLeft w:val="0"/>
      <w:marRight w:val="0"/>
      <w:marTop w:val="0"/>
      <w:marBottom w:val="0"/>
      <w:divBdr>
        <w:top w:val="none" w:sz="0" w:space="0" w:color="auto"/>
        <w:left w:val="none" w:sz="0" w:space="0" w:color="auto"/>
        <w:bottom w:val="none" w:sz="0" w:space="0" w:color="auto"/>
        <w:right w:val="none" w:sz="0" w:space="0" w:color="auto"/>
      </w:divBdr>
    </w:div>
    <w:div w:id="1424909400">
      <w:bodyDiv w:val="1"/>
      <w:marLeft w:val="0"/>
      <w:marRight w:val="0"/>
      <w:marTop w:val="0"/>
      <w:marBottom w:val="0"/>
      <w:divBdr>
        <w:top w:val="none" w:sz="0" w:space="0" w:color="auto"/>
        <w:left w:val="none" w:sz="0" w:space="0" w:color="auto"/>
        <w:bottom w:val="none" w:sz="0" w:space="0" w:color="auto"/>
        <w:right w:val="none" w:sz="0" w:space="0" w:color="auto"/>
      </w:divBdr>
    </w:div>
    <w:div w:id="1571192528">
      <w:bodyDiv w:val="1"/>
      <w:marLeft w:val="0"/>
      <w:marRight w:val="0"/>
      <w:marTop w:val="0"/>
      <w:marBottom w:val="0"/>
      <w:divBdr>
        <w:top w:val="none" w:sz="0" w:space="0" w:color="auto"/>
        <w:left w:val="none" w:sz="0" w:space="0" w:color="auto"/>
        <w:bottom w:val="none" w:sz="0" w:space="0" w:color="auto"/>
        <w:right w:val="none" w:sz="0" w:space="0" w:color="auto"/>
      </w:divBdr>
      <w:divsChild>
        <w:div w:id="350649379">
          <w:marLeft w:val="0"/>
          <w:marRight w:val="0"/>
          <w:marTop w:val="0"/>
          <w:marBottom w:val="0"/>
          <w:divBdr>
            <w:top w:val="none" w:sz="0" w:space="0" w:color="auto"/>
            <w:left w:val="none" w:sz="0" w:space="0" w:color="auto"/>
            <w:bottom w:val="none" w:sz="0" w:space="0" w:color="auto"/>
            <w:right w:val="none" w:sz="0" w:space="0" w:color="auto"/>
          </w:divBdr>
        </w:div>
        <w:div w:id="1848862041">
          <w:marLeft w:val="0"/>
          <w:marRight w:val="0"/>
          <w:marTop w:val="0"/>
          <w:marBottom w:val="0"/>
          <w:divBdr>
            <w:top w:val="none" w:sz="0" w:space="0" w:color="auto"/>
            <w:left w:val="none" w:sz="0" w:space="0" w:color="auto"/>
            <w:bottom w:val="none" w:sz="0" w:space="0" w:color="auto"/>
            <w:right w:val="none" w:sz="0" w:space="0" w:color="auto"/>
          </w:divBdr>
        </w:div>
      </w:divsChild>
    </w:div>
    <w:div w:id="1613316047">
      <w:bodyDiv w:val="1"/>
      <w:marLeft w:val="0"/>
      <w:marRight w:val="0"/>
      <w:marTop w:val="0"/>
      <w:marBottom w:val="0"/>
      <w:divBdr>
        <w:top w:val="none" w:sz="0" w:space="0" w:color="auto"/>
        <w:left w:val="none" w:sz="0" w:space="0" w:color="auto"/>
        <w:bottom w:val="none" w:sz="0" w:space="0" w:color="auto"/>
        <w:right w:val="none" w:sz="0" w:space="0" w:color="auto"/>
      </w:divBdr>
      <w:divsChild>
        <w:div w:id="1129396804">
          <w:marLeft w:val="0"/>
          <w:marRight w:val="0"/>
          <w:marTop w:val="0"/>
          <w:marBottom w:val="0"/>
          <w:divBdr>
            <w:top w:val="none" w:sz="0" w:space="0" w:color="auto"/>
            <w:left w:val="none" w:sz="0" w:space="0" w:color="auto"/>
            <w:bottom w:val="none" w:sz="0" w:space="0" w:color="auto"/>
            <w:right w:val="none" w:sz="0" w:space="0" w:color="auto"/>
          </w:divBdr>
          <w:divsChild>
            <w:div w:id="876553000">
              <w:marLeft w:val="0"/>
              <w:marRight w:val="0"/>
              <w:marTop w:val="0"/>
              <w:marBottom w:val="0"/>
              <w:divBdr>
                <w:top w:val="none" w:sz="0" w:space="0" w:color="auto"/>
                <w:left w:val="none" w:sz="0" w:space="0" w:color="auto"/>
                <w:bottom w:val="none" w:sz="0" w:space="0" w:color="auto"/>
                <w:right w:val="none" w:sz="0" w:space="0" w:color="auto"/>
              </w:divBdr>
              <w:divsChild>
                <w:div w:id="1136992443">
                  <w:marLeft w:val="0"/>
                  <w:marRight w:val="0"/>
                  <w:marTop w:val="0"/>
                  <w:marBottom w:val="0"/>
                  <w:divBdr>
                    <w:top w:val="none" w:sz="0" w:space="0" w:color="auto"/>
                    <w:left w:val="none" w:sz="0" w:space="0" w:color="auto"/>
                    <w:bottom w:val="none" w:sz="0" w:space="0" w:color="auto"/>
                    <w:right w:val="none" w:sz="0" w:space="0" w:color="auto"/>
                  </w:divBdr>
                  <w:divsChild>
                    <w:div w:id="1094084880">
                      <w:marLeft w:val="0"/>
                      <w:marRight w:val="0"/>
                      <w:marTop w:val="0"/>
                      <w:marBottom w:val="0"/>
                      <w:divBdr>
                        <w:top w:val="none" w:sz="0" w:space="0" w:color="auto"/>
                        <w:left w:val="none" w:sz="0" w:space="0" w:color="auto"/>
                        <w:bottom w:val="none" w:sz="0" w:space="0" w:color="auto"/>
                        <w:right w:val="none" w:sz="0" w:space="0" w:color="auto"/>
                      </w:divBdr>
                      <w:divsChild>
                        <w:div w:id="1806855197">
                          <w:marLeft w:val="0"/>
                          <w:marRight w:val="0"/>
                          <w:marTop w:val="0"/>
                          <w:marBottom w:val="0"/>
                          <w:divBdr>
                            <w:top w:val="none" w:sz="0" w:space="0" w:color="auto"/>
                            <w:left w:val="none" w:sz="0" w:space="0" w:color="auto"/>
                            <w:bottom w:val="none" w:sz="0" w:space="0" w:color="auto"/>
                            <w:right w:val="none" w:sz="0" w:space="0" w:color="auto"/>
                          </w:divBdr>
                          <w:divsChild>
                            <w:div w:id="1030839669">
                              <w:marLeft w:val="0"/>
                              <w:marRight w:val="0"/>
                              <w:marTop w:val="0"/>
                              <w:marBottom w:val="0"/>
                              <w:divBdr>
                                <w:top w:val="none" w:sz="0" w:space="0" w:color="auto"/>
                                <w:left w:val="none" w:sz="0" w:space="0" w:color="auto"/>
                                <w:bottom w:val="none" w:sz="0" w:space="0" w:color="auto"/>
                                <w:right w:val="none" w:sz="0" w:space="0" w:color="auto"/>
                              </w:divBdr>
                              <w:divsChild>
                                <w:div w:id="1911621554">
                                  <w:marLeft w:val="0"/>
                                  <w:marRight w:val="0"/>
                                  <w:marTop w:val="0"/>
                                  <w:marBottom w:val="0"/>
                                  <w:divBdr>
                                    <w:top w:val="none" w:sz="0" w:space="0" w:color="auto"/>
                                    <w:left w:val="none" w:sz="0" w:space="0" w:color="auto"/>
                                    <w:bottom w:val="none" w:sz="0" w:space="0" w:color="auto"/>
                                    <w:right w:val="none" w:sz="0" w:space="0" w:color="auto"/>
                                  </w:divBdr>
                                  <w:divsChild>
                                    <w:div w:id="1713453637">
                                      <w:marLeft w:val="60"/>
                                      <w:marRight w:val="0"/>
                                      <w:marTop w:val="0"/>
                                      <w:marBottom w:val="0"/>
                                      <w:divBdr>
                                        <w:top w:val="none" w:sz="0" w:space="0" w:color="auto"/>
                                        <w:left w:val="none" w:sz="0" w:space="0" w:color="auto"/>
                                        <w:bottom w:val="none" w:sz="0" w:space="0" w:color="auto"/>
                                        <w:right w:val="none" w:sz="0" w:space="0" w:color="auto"/>
                                      </w:divBdr>
                                      <w:divsChild>
                                        <w:div w:id="2020546037">
                                          <w:marLeft w:val="0"/>
                                          <w:marRight w:val="0"/>
                                          <w:marTop w:val="0"/>
                                          <w:marBottom w:val="0"/>
                                          <w:divBdr>
                                            <w:top w:val="none" w:sz="0" w:space="0" w:color="auto"/>
                                            <w:left w:val="none" w:sz="0" w:space="0" w:color="auto"/>
                                            <w:bottom w:val="none" w:sz="0" w:space="0" w:color="auto"/>
                                            <w:right w:val="none" w:sz="0" w:space="0" w:color="auto"/>
                                          </w:divBdr>
                                          <w:divsChild>
                                            <w:div w:id="821460954">
                                              <w:marLeft w:val="0"/>
                                              <w:marRight w:val="0"/>
                                              <w:marTop w:val="0"/>
                                              <w:marBottom w:val="120"/>
                                              <w:divBdr>
                                                <w:top w:val="single" w:sz="6" w:space="0" w:color="F5F5F5"/>
                                                <w:left w:val="single" w:sz="6" w:space="0" w:color="F5F5F5"/>
                                                <w:bottom w:val="single" w:sz="6" w:space="0" w:color="F5F5F5"/>
                                                <w:right w:val="single" w:sz="6" w:space="0" w:color="F5F5F5"/>
                                              </w:divBdr>
                                              <w:divsChild>
                                                <w:div w:id="1472214154">
                                                  <w:marLeft w:val="0"/>
                                                  <w:marRight w:val="0"/>
                                                  <w:marTop w:val="0"/>
                                                  <w:marBottom w:val="0"/>
                                                  <w:divBdr>
                                                    <w:top w:val="none" w:sz="0" w:space="0" w:color="auto"/>
                                                    <w:left w:val="none" w:sz="0" w:space="0" w:color="auto"/>
                                                    <w:bottom w:val="none" w:sz="0" w:space="0" w:color="auto"/>
                                                    <w:right w:val="none" w:sz="0" w:space="0" w:color="auto"/>
                                                  </w:divBdr>
                                                  <w:divsChild>
                                                    <w:div w:id="86301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5940119">
      <w:bodyDiv w:val="1"/>
      <w:marLeft w:val="0"/>
      <w:marRight w:val="0"/>
      <w:marTop w:val="0"/>
      <w:marBottom w:val="0"/>
      <w:divBdr>
        <w:top w:val="none" w:sz="0" w:space="0" w:color="auto"/>
        <w:left w:val="none" w:sz="0" w:space="0" w:color="auto"/>
        <w:bottom w:val="none" w:sz="0" w:space="0" w:color="auto"/>
        <w:right w:val="none" w:sz="0" w:space="0" w:color="auto"/>
      </w:divBdr>
      <w:divsChild>
        <w:div w:id="154222918">
          <w:marLeft w:val="0"/>
          <w:marRight w:val="0"/>
          <w:marTop w:val="0"/>
          <w:marBottom w:val="0"/>
          <w:divBdr>
            <w:top w:val="none" w:sz="0" w:space="0" w:color="auto"/>
            <w:left w:val="none" w:sz="0" w:space="0" w:color="auto"/>
            <w:bottom w:val="none" w:sz="0" w:space="0" w:color="auto"/>
            <w:right w:val="none" w:sz="0" w:space="0" w:color="auto"/>
          </w:divBdr>
          <w:divsChild>
            <w:div w:id="21265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062833">
      <w:bodyDiv w:val="1"/>
      <w:marLeft w:val="0"/>
      <w:marRight w:val="0"/>
      <w:marTop w:val="0"/>
      <w:marBottom w:val="0"/>
      <w:divBdr>
        <w:top w:val="none" w:sz="0" w:space="0" w:color="auto"/>
        <w:left w:val="none" w:sz="0" w:space="0" w:color="auto"/>
        <w:bottom w:val="none" w:sz="0" w:space="0" w:color="auto"/>
        <w:right w:val="none" w:sz="0" w:space="0" w:color="auto"/>
      </w:divBdr>
    </w:div>
    <w:div w:id="1749226447">
      <w:bodyDiv w:val="1"/>
      <w:marLeft w:val="0"/>
      <w:marRight w:val="0"/>
      <w:marTop w:val="0"/>
      <w:marBottom w:val="0"/>
      <w:divBdr>
        <w:top w:val="none" w:sz="0" w:space="0" w:color="auto"/>
        <w:left w:val="none" w:sz="0" w:space="0" w:color="auto"/>
        <w:bottom w:val="none" w:sz="0" w:space="0" w:color="auto"/>
        <w:right w:val="none" w:sz="0" w:space="0" w:color="auto"/>
      </w:divBdr>
      <w:divsChild>
        <w:div w:id="996424777">
          <w:marLeft w:val="0"/>
          <w:marRight w:val="0"/>
          <w:marTop w:val="0"/>
          <w:marBottom w:val="600"/>
          <w:divBdr>
            <w:top w:val="none" w:sz="0" w:space="0" w:color="auto"/>
            <w:left w:val="single" w:sz="6" w:space="0" w:color="D0D0D0"/>
            <w:bottom w:val="single" w:sz="6" w:space="0" w:color="D0D0D0"/>
            <w:right w:val="single" w:sz="6" w:space="0" w:color="D0D0D0"/>
          </w:divBdr>
          <w:divsChild>
            <w:div w:id="1558588571">
              <w:marLeft w:val="0"/>
              <w:marRight w:val="0"/>
              <w:marTop w:val="0"/>
              <w:marBottom w:val="0"/>
              <w:divBdr>
                <w:top w:val="none" w:sz="0" w:space="0" w:color="auto"/>
                <w:left w:val="none" w:sz="0" w:space="0" w:color="auto"/>
                <w:bottom w:val="none" w:sz="0" w:space="0" w:color="auto"/>
                <w:right w:val="none" w:sz="0" w:space="0" w:color="auto"/>
              </w:divBdr>
              <w:divsChild>
                <w:div w:id="345908963">
                  <w:marLeft w:val="0"/>
                  <w:marRight w:val="0"/>
                  <w:marTop w:val="0"/>
                  <w:marBottom w:val="0"/>
                  <w:divBdr>
                    <w:top w:val="none" w:sz="0" w:space="0" w:color="auto"/>
                    <w:left w:val="none" w:sz="0" w:space="0" w:color="auto"/>
                    <w:bottom w:val="none" w:sz="0" w:space="0" w:color="auto"/>
                    <w:right w:val="none" w:sz="0" w:space="0" w:color="auto"/>
                  </w:divBdr>
                  <w:divsChild>
                    <w:div w:id="1950620517">
                      <w:marLeft w:val="-75"/>
                      <w:marRight w:val="0"/>
                      <w:marTop w:val="0"/>
                      <w:marBottom w:val="0"/>
                      <w:divBdr>
                        <w:top w:val="none" w:sz="0" w:space="0" w:color="auto"/>
                        <w:left w:val="none" w:sz="0" w:space="0" w:color="auto"/>
                        <w:bottom w:val="none" w:sz="0" w:space="0" w:color="auto"/>
                        <w:right w:val="none" w:sz="0" w:space="0" w:color="auto"/>
                      </w:divBdr>
                      <w:divsChild>
                        <w:div w:id="939727086">
                          <w:marLeft w:val="0"/>
                          <w:marRight w:val="0"/>
                          <w:marTop w:val="0"/>
                          <w:marBottom w:val="0"/>
                          <w:divBdr>
                            <w:top w:val="none" w:sz="0" w:space="0" w:color="auto"/>
                            <w:left w:val="none" w:sz="0" w:space="0" w:color="auto"/>
                            <w:bottom w:val="none" w:sz="0" w:space="0" w:color="auto"/>
                            <w:right w:val="none" w:sz="0" w:space="0" w:color="auto"/>
                          </w:divBdr>
                          <w:divsChild>
                            <w:div w:id="1081024873">
                              <w:marLeft w:val="0"/>
                              <w:marRight w:val="0"/>
                              <w:marTop w:val="0"/>
                              <w:marBottom w:val="0"/>
                              <w:divBdr>
                                <w:top w:val="none" w:sz="0" w:space="0" w:color="auto"/>
                                <w:left w:val="none" w:sz="0" w:space="0" w:color="auto"/>
                                <w:bottom w:val="none" w:sz="0" w:space="0" w:color="auto"/>
                                <w:right w:val="none" w:sz="0" w:space="0" w:color="auto"/>
                              </w:divBdr>
                              <w:divsChild>
                                <w:div w:id="820197558">
                                  <w:marLeft w:val="0"/>
                                  <w:marRight w:val="0"/>
                                  <w:marTop w:val="0"/>
                                  <w:marBottom w:val="0"/>
                                  <w:divBdr>
                                    <w:top w:val="none" w:sz="0" w:space="0" w:color="auto"/>
                                    <w:left w:val="none" w:sz="0" w:space="0" w:color="auto"/>
                                    <w:bottom w:val="none" w:sz="0" w:space="0" w:color="auto"/>
                                    <w:right w:val="none" w:sz="0" w:space="0" w:color="auto"/>
                                  </w:divBdr>
                                  <w:divsChild>
                                    <w:div w:id="512375139">
                                      <w:marLeft w:val="0"/>
                                      <w:marRight w:val="0"/>
                                      <w:marTop w:val="0"/>
                                      <w:marBottom w:val="0"/>
                                      <w:divBdr>
                                        <w:top w:val="none" w:sz="0" w:space="0" w:color="auto"/>
                                        <w:left w:val="none" w:sz="0" w:space="0" w:color="auto"/>
                                        <w:bottom w:val="none" w:sz="0" w:space="0" w:color="auto"/>
                                        <w:right w:val="none" w:sz="0" w:space="0" w:color="auto"/>
                                      </w:divBdr>
                                      <w:divsChild>
                                        <w:div w:id="189687582">
                                          <w:marLeft w:val="0"/>
                                          <w:marRight w:val="0"/>
                                          <w:marTop w:val="0"/>
                                          <w:marBottom w:val="0"/>
                                          <w:divBdr>
                                            <w:top w:val="none" w:sz="0" w:space="0" w:color="auto"/>
                                            <w:left w:val="none" w:sz="0" w:space="0" w:color="auto"/>
                                            <w:bottom w:val="none" w:sz="0" w:space="0" w:color="auto"/>
                                            <w:right w:val="none" w:sz="0" w:space="0" w:color="auto"/>
                                          </w:divBdr>
                                          <w:divsChild>
                                            <w:div w:id="1424649260">
                                              <w:marLeft w:val="0"/>
                                              <w:marRight w:val="0"/>
                                              <w:marTop w:val="0"/>
                                              <w:marBottom w:val="300"/>
                                              <w:divBdr>
                                                <w:top w:val="none" w:sz="0" w:space="0" w:color="auto"/>
                                                <w:left w:val="none" w:sz="0" w:space="0" w:color="auto"/>
                                                <w:bottom w:val="none" w:sz="0" w:space="0" w:color="auto"/>
                                                <w:right w:val="none" w:sz="0" w:space="0" w:color="auto"/>
                                              </w:divBdr>
                                              <w:divsChild>
                                                <w:div w:id="1147625307">
                                                  <w:marLeft w:val="315"/>
                                                  <w:marRight w:val="300"/>
                                                  <w:marTop w:val="150"/>
                                                  <w:marBottom w:val="360"/>
                                                  <w:divBdr>
                                                    <w:top w:val="none" w:sz="0" w:space="0" w:color="auto"/>
                                                    <w:left w:val="none" w:sz="0" w:space="0" w:color="auto"/>
                                                    <w:bottom w:val="none" w:sz="0" w:space="0" w:color="auto"/>
                                                    <w:right w:val="none" w:sz="0" w:space="0" w:color="auto"/>
                                                  </w:divBdr>
                                                  <w:divsChild>
                                                    <w:div w:id="1554807892">
                                                      <w:marLeft w:val="0"/>
                                                      <w:marRight w:val="0"/>
                                                      <w:marTop w:val="0"/>
                                                      <w:marBottom w:val="0"/>
                                                      <w:divBdr>
                                                        <w:top w:val="none" w:sz="0" w:space="0" w:color="auto"/>
                                                        <w:left w:val="none" w:sz="0" w:space="0" w:color="auto"/>
                                                        <w:bottom w:val="none" w:sz="0" w:space="0" w:color="auto"/>
                                                        <w:right w:val="none" w:sz="0" w:space="0" w:color="auto"/>
                                                      </w:divBdr>
                                                      <w:divsChild>
                                                        <w:div w:id="54179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6363769">
      <w:bodyDiv w:val="1"/>
      <w:marLeft w:val="0"/>
      <w:marRight w:val="0"/>
      <w:marTop w:val="0"/>
      <w:marBottom w:val="0"/>
      <w:divBdr>
        <w:top w:val="none" w:sz="0" w:space="0" w:color="auto"/>
        <w:left w:val="none" w:sz="0" w:space="0" w:color="auto"/>
        <w:bottom w:val="none" w:sz="0" w:space="0" w:color="auto"/>
        <w:right w:val="none" w:sz="0" w:space="0" w:color="auto"/>
      </w:divBdr>
      <w:divsChild>
        <w:div w:id="1469081737">
          <w:marLeft w:val="0"/>
          <w:marRight w:val="0"/>
          <w:marTop w:val="0"/>
          <w:marBottom w:val="0"/>
          <w:divBdr>
            <w:top w:val="none" w:sz="0" w:space="0" w:color="auto"/>
            <w:left w:val="none" w:sz="0" w:space="0" w:color="auto"/>
            <w:bottom w:val="none" w:sz="0" w:space="0" w:color="auto"/>
            <w:right w:val="none" w:sz="0" w:space="0" w:color="auto"/>
          </w:divBdr>
          <w:divsChild>
            <w:div w:id="1155990330">
              <w:marLeft w:val="0"/>
              <w:marRight w:val="0"/>
              <w:marTop w:val="0"/>
              <w:marBottom w:val="0"/>
              <w:divBdr>
                <w:top w:val="none" w:sz="0" w:space="0" w:color="auto"/>
                <w:left w:val="none" w:sz="0" w:space="0" w:color="auto"/>
                <w:bottom w:val="none" w:sz="0" w:space="0" w:color="auto"/>
                <w:right w:val="none" w:sz="0" w:space="0" w:color="auto"/>
              </w:divBdr>
              <w:divsChild>
                <w:div w:id="1995791098">
                  <w:marLeft w:val="0"/>
                  <w:marRight w:val="0"/>
                  <w:marTop w:val="0"/>
                  <w:marBottom w:val="0"/>
                  <w:divBdr>
                    <w:top w:val="none" w:sz="0" w:space="0" w:color="auto"/>
                    <w:left w:val="none" w:sz="0" w:space="0" w:color="auto"/>
                    <w:bottom w:val="none" w:sz="0" w:space="0" w:color="auto"/>
                    <w:right w:val="none" w:sz="0" w:space="0" w:color="auto"/>
                  </w:divBdr>
                  <w:divsChild>
                    <w:div w:id="785346611">
                      <w:marLeft w:val="0"/>
                      <w:marRight w:val="0"/>
                      <w:marTop w:val="0"/>
                      <w:marBottom w:val="0"/>
                      <w:divBdr>
                        <w:top w:val="none" w:sz="0" w:space="0" w:color="auto"/>
                        <w:left w:val="none" w:sz="0" w:space="0" w:color="auto"/>
                        <w:bottom w:val="none" w:sz="0" w:space="0" w:color="auto"/>
                        <w:right w:val="none" w:sz="0" w:space="0" w:color="auto"/>
                      </w:divBdr>
                      <w:divsChild>
                        <w:div w:id="1837500568">
                          <w:marLeft w:val="0"/>
                          <w:marRight w:val="0"/>
                          <w:marTop w:val="0"/>
                          <w:marBottom w:val="0"/>
                          <w:divBdr>
                            <w:top w:val="none" w:sz="0" w:space="0" w:color="auto"/>
                            <w:left w:val="none" w:sz="0" w:space="0" w:color="auto"/>
                            <w:bottom w:val="none" w:sz="0" w:space="0" w:color="auto"/>
                            <w:right w:val="none" w:sz="0" w:space="0" w:color="auto"/>
                          </w:divBdr>
                          <w:divsChild>
                            <w:div w:id="1220555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8953298">
      <w:bodyDiv w:val="1"/>
      <w:marLeft w:val="0"/>
      <w:marRight w:val="0"/>
      <w:marTop w:val="0"/>
      <w:marBottom w:val="0"/>
      <w:divBdr>
        <w:top w:val="none" w:sz="0" w:space="0" w:color="auto"/>
        <w:left w:val="none" w:sz="0" w:space="0" w:color="auto"/>
        <w:bottom w:val="none" w:sz="0" w:space="0" w:color="auto"/>
        <w:right w:val="none" w:sz="0" w:space="0" w:color="auto"/>
      </w:divBdr>
      <w:divsChild>
        <w:div w:id="1797790858">
          <w:marLeft w:val="360"/>
          <w:marRight w:val="0"/>
          <w:marTop w:val="0"/>
          <w:marBottom w:val="0"/>
          <w:divBdr>
            <w:top w:val="none" w:sz="0" w:space="0" w:color="auto"/>
            <w:left w:val="none" w:sz="0" w:space="0" w:color="auto"/>
            <w:bottom w:val="none" w:sz="0" w:space="0" w:color="auto"/>
            <w:right w:val="none" w:sz="0" w:space="0" w:color="auto"/>
          </w:divBdr>
        </w:div>
      </w:divsChild>
    </w:div>
    <w:div w:id="1963270508">
      <w:bodyDiv w:val="1"/>
      <w:marLeft w:val="0"/>
      <w:marRight w:val="0"/>
      <w:marTop w:val="0"/>
      <w:marBottom w:val="0"/>
      <w:divBdr>
        <w:top w:val="none" w:sz="0" w:space="0" w:color="auto"/>
        <w:left w:val="none" w:sz="0" w:space="0" w:color="auto"/>
        <w:bottom w:val="none" w:sz="0" w:space="0" w:color="auto"/>
        <w:right w:val="none" w:sz="0" w:space="0" w:color="auto"/>
      </w:divBdr>
    </w:div>
    <w:div w:id="2013608328">
      <w:bodyDiv w:val="1"/>
      <w:marLeft w:val="0"/>
      <w:marRight w:val="0"/>
      <w:marTop w:val="0"/>
      <w:marBottom w:val="0"/>
      <w:divBdr>
        <w:top w:val="none" w:sz="0" w:space="0" w:color="auto"/>
        <w:left w:val="none" w:sz="0" w:space="0" w:color="auto"/>
        <w:bottom w:val="none" w:sz="0" w:space="0" w:color="auto"/>
        <w:right w:val="none" w:sz="0" w:space="0" w:color="auto"/>
      </w:divBdr>
    </w:div>
    <w:div w:id="2088503167">
      <w:bodyDiv w:val="1"/>
      <w:marLeft w:val="0"/>
      <w:marRight w:val="0"/>
      <w:marTop w:val="0"/>
      <w:marBottom w:val="0"/>
      <w:divBdr>
        <w:top w:val="none" w:sz="0" w:space="0" w:color="auto"/>
        <w:left w:val="none" w:sz="0" w:space="0" w:color="auto"/>
        <w:bottom w:val="none" w:sz="0" w:space="0" w:color="auto"/>
        <w:right w:val="none" w:sz="0" w:space="0" w:color="auto"/>
      </w:divBdr>
      <w:divsChild>
        <w:div w:id="1190492962">
          <w:marLeft w:val="0"/>
          <w:marRight w:val="0"/>
          <w:marTop w:val="0"/>
          <w:marBottom w:val="0"/>
          <w:divBdr>
            <w:top w:val="none" w:sz="0" w:space="0" w:color="auto"/>
            <w:left w:val="none" w:sz="0" w:space="0" w:color="auto"/>
            <w:bottom w:val="none" w:sz="0" w:space="0" w:color="auto"/>
            <w:right w:val="none" w:sz="0" w:space="0" w:color="auto"/>
          </w:divBdr>
        </w:div>
        <w:div w:id="37702106">
          <w:marLeft w:val="0"/>
          <w:marRight w:val="0"/>
          <w:marTop w:val="0"/>
          <w:marBottom w:val="0"/>
          <w:divBdr>
            <w:top w:val="none" w:sz="0" w:space="0" w:color="auto"/>
            <w:left w:val="none" w:sz="0" w:space="0" w:color="auto"/>
            <w:bottom w:val="none" w:sz="0" w:space="0" w:color="auto"/>
            <w:right w:val="none" w:sz="0" w:space="0" w:color="auto"/>
          </w:divBdr>
        </w:div>
        <w:div w:id="1341665250">
          <w:marLeft w:val="0"/>
          <w:marRight w:val="0"/>
          <w:marTop w:val="0"/>
          <w:marBottom w:val="0"/>
          <w:divBdr>
            <w:top w:val="none" w:sz="0" w:space="0" w:color="auto"/>
            <w:left w:val="none" w:sz="0" w:space="0" w:color="auto"/>
            <w:bottom w:val="none" w:sz="0" w:space="0" w:color="auto"/>
            <w:right w:val="none" w:sz="0" w:space="0" w:color="auto"/>
          </w:divBdr>
        </w:div>
      </w:divsChild>
    </w:div>
    <w:div w:id="2116944437">
      <w:bodyDiv w:val="1"/>
      <w:marLeft w:val="0"/>
      <w:marRight w:val="0"/>
      <w:marTop w:val="0"/>
      <w:marBottom w:val="0"/>
      <w:divBdr>
        <w:top w:val="none" w:sz="0" w:space="0" w:color="auto"/>
        <w:left w:val="none" w:sz="0" w:space="0" w:color="auto"/>
        <w:bottom w:val="none" w:sz="0" w:space="0" w:color="auto"/>
        <w:right w:val="none" w:sz="0" w:space="0" w:color="auto"/>
      </w:divBdr>
    </w:div>
    <w:div w:id="212923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nitar.org/cwm/" TargetMode="External"/><Relationship Id="rId18" Type="http://schemas.openxmlformats.org/officeDocument/2006/relationships/hyperlink" Target="http://www.portalreach.info/glosario-terminos/Title/Q29tZXJjaWFsaXphY2nDs24=/Referer/L2NscC8=/" TargetMode="External"/><Relationship Id="rId26" Type="http://schemas.openxmlformats.org/officeDocument/2006/relationships/hyperlink" Target="http://www.epa.gov/pesticides/regulating/laws.htm" TargetMode="External"/><Relationship Id="rId39"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www.ghs-chile.cl" TargetMode="External"/><Relationship Id="rId34" Type="http://schemas.openxmlformats.org/officeDocument/2006/relationships/header" Target="header1.xm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portalreach.info/glosario-terminos/Title/Q2xhc2lmaWNhY2nDs24=/Referer/L2NscC8=/" TargetMode="External"/><Relationship Id="rId25" Type="http://schemas.openxmlformats.org/officeDocument/2006/relationships/hyperlink" Target="http://www.epa.gov/lawsregs/laws/tsca.html" TargetMode="External"/><Relationship Id="rId33" Type="http://schemas.openxmlformats.org/officeDocument/2006/relationships/hyperlink" Target="http://mercosur.weebly.com/" TargetMode="External"/><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portalreach.info/glosario-terminos/Title/RVM=/Referer/L2NscC8=/" TargetMode="External"/><Relationship Id="rId20" Type="http://schemas.openxmlformats.org/officeDocument/2006/relationships/hyperlink" Target="http://www.portalreach.info/glosario-terminos/Title/U0VB/Referer/L2NscC8=/" TargetMode="External"/><Relationship Id="rId29" Type="http://schemas.openxmlformats.org/officeDocument/2006/relationships/hyperlink" Target="http://www.ghs-chile.c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4.gif"/><Relationship Id="rId32" Type="http://schemas.openxmlformats.org/officeDocument/2006/relationships/hyperlink" Target="http://great.osha.gov.tw/content/image/fck/2012%20CD%20Virtual%20Working%20Group%20Report(3).pdf" TargetMode="External"/><Relationship Id="rId37" Type="http://schemas.openxmlformats.org/officeDocument/2006/relationships/footer" Target="footer2.xml"/><Relationship Id="rId40" Type="http://schemas.openxmlformats.org/officeDocument/2006/relationships/hyperlink" Target="http://www.ghs-chile.cl" TargetMode="External"/><Relationship Id="rId5" Type="http://schemas.openxmlformats.org/officeDocument/2006/relationships/numbering" Target="numbering.xml"/><Relationship Id="rId15" Type="http://schemas.openxmlformats.org/officeDocument/2006/relationships/hyperlink" Target="http://www.portalreach.info/glosario-terminos/Title/U3VzdGFuY2lh/Referer/L3JlYWNoLw==/" TargetMode="External"/><Relationship Id="rId23" Type="http://schemas.openxmlformats.org/officeDocument/2006/relationships/image" Target="media/image3.png"/><Relationship Id="rId28" Type="http://schemas.openxmlformats.org/officeDocument/2006/relationships/image" Target="media/image5.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portalreach.info/glosario-terminos/Title/U3VzdGFuY2lh/Referer/L2NscC8=/" TargetMode="External"/><Relationship Id="rId31" Type="http://schemas.openxmlformats.org/officeDocument/2006/relationships/hyperlink" Target="http://great.cla.gov.tw/ENG/index.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nece.org/es/transport/areas-of-work/dangerous-goods/legal-instruments-and-recommendations.html" TargetMode="External"/><Relationship Id="rId22" Type="http://schemas.openxmlformats.org/officeDocument/2006/relationships/hyperlink" Target="http://www.ghs-chile.cl" TargetMode="External"/><Relationship Id="rId27" Type="http://schemas.openxmlformats.org/officeDocument/2006/relationships/hyperlink" Target="http://www.epa.gov/pesticides/regulating/laws.htm" TargetMode="External"/><Relationship Id="rId30" Type="http://schemas.openxmlformats.org/officeDocument/2006/relationships/hyperlink" Target="http://www2.unitar.org/cwm/ghs_partnership/expertroster.htm" TargetMode="External"/><Relationship Id="rId35"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great.cla.gov.tw/ENG/index.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perez\AppData\Roaming\Microsoft\Plantillas\Informe%20(tema%20Intermedio).dotx" TargetMode="External"/></Relationships>
</file>

<file path=word/theme/_rels/theme1.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jpeg"/></Relationships>
</file>

<file path=word/theme/theme1.xml><?xml version="1.0" encoding="utf-8"?>
<a:theme xmlns:a="http://schemas.openxmlformats.org/drawingml/2006/main" name="Median">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Median">
      <a:majorFont>
        <a:latin typeface="Tw Cen MT"/>
        <a:ea typeface=""/>
        <a:cs typeface=""/>
        <a:font script="Grek" typeface="Calibri"/>
        <a:font script="Cyrl" typeface="Calibri"/>
        <a:font script="Jpan" typeface="HGPｺﾞｼｯｸE"/>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Tw Cen MT"/>
        <a:ea typeface=""/>
        <a:cs typeface=""/>
        <a:font script="Grek" typeface="Calibri"/>
        <a:font script="Cyrl" typeface="Calibri"/>
        <a:font script="Jpan" typeface="HGPｺﾞｼｯｸE"/>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Median">
      <a:fillStyleLst>
        <a:solidFill>
          <a:schemeClr val="phClr"/>
        </a:solidFill>
        <a:solidFill>
          <a:schemeClr val="phClr">
            <a:tint val="50000"/>
          </a:schemeClr>
        </a:solidFill>
        <a:solidFill>
          <a:schemeClr val="phClr"/>
        </a:solidFill>
      </a:fillStyleLst>
      <a:lnStyleLst>
        <a:ln w="10000" cap="flat" cmpd="sng" algn="ctr">
          <a:solidFill>
            <a:schemeClr val="phClr"/>
          </a:solidFill>
          <a:prstDash val="solid"/>
        </a:ln>
        <a:ln w="19050" cap="flat" cmpd="sng" algn="ctr">
          <a:solidFill>
            <a:schemeClr val="phClr"/>
          </a:solidFill>
          <a:prstDash val="solid"/>
        </a:ln>
        <a:ln w="47625" cap="flat" cmpd="dbl" algn="ctr">
          <a:solidFill>
            <a:schemeClr val="phClr"/>
          </a:solidFill>
          <a:prstDash val="solid"/>
        </a:ln>
      </a:lnStyleLst>
      <a:effectStyleLst>
        <a:effectStyle>
          <a:effectLst>
            <a:outerShdw blurRad="38100" dist="30000" dir="5400000" rotWithShape="0">
              <a:srgbClr val="000000">
                <a:alpha val="45000"/>
              </a:srgbClr>
            </a:outerShdw>
          </a:effectLst>
        </a:effectStyle>
        <a:effectStyle>
          <a:effectLst>
            <a:outerShdw blurRad="38100" dist="30000" dir="5400000" rotWithShape="0">
              <a:srgbClr val="000000">
                <a:alpha val="45000"/>
              </a:srgbClr>
            </a:outerShdw>
          </a:effectLst>
        </a:effectStyle>
        <a:effectStyle>
          <a:effectLst>
            <a:outerShdw blurRad="38100" dist="25400" dir="5400000" rotWithShape="0">
              <a:srgbClr val="000000">
                <a:alpha val="35000"/>
              </a:srgbClr>
            </a:outerShdw>
          </a:effectLst>
          <a:scene3d>
            <a:camera prst="isometricTopDown" fov="0">
              <a:rot lat="0" lon="0" rev="0"/>
            </a:camera>
            <a:lightRig rig="balanced" dir="t">
              <a:rot lat="0" lon="0" rev="13800000"/>
            </a:lightRig>
          </a:scene3d>
          <a:sp3d extrusionH="12700" prstMaterial="plastic">
            <a:bevelT w="38100" h="25400" prst="softRound"/>
            <a:contourClr>
              <a:schemeClr val="phClr"/>
            </a:contourClr>
          </a:sp3d>
        </a:effectStyle>
      </a:effectStyleLst>
      <a:bgFillStyleLst>
        <a:solidFill>
          <a:schemeClr val="phClr"/>
        </a:solidFill>
        <a:blipFill>
          <a:blip xmlns:r="http://schemas.openxmlformats.org/officeDocument/2006/relationships" r:embed="rId1">
            <a:duotone>
              <a:schemeClr val="phClr">
                <a:shade val="90000"/>
                <a:satMod val="140000"/>
              </a:schemeClr>
              <a:schemeClr val="phClr">
                <a:satMod val="120000"/>
              </a:schemeClr>
            </a:duotone>
          </a:blip>
          <a:tile tx="0" ty="0" sx="100000" sy="100000" flip="none" algn="tl"/>
        </a:blipFill>
        <a:blipFill>
          <a:blip xmlns:r="http://schemas.openxmlformats.org/officeDocument/2006/relationships" r:embed="rId2">
            <a:duotone>
              <a:schemeClr val="phClr">
                <a:shade val="90000"/>
                <a:satMod val="140000"/>
              </a:schemeClr>
              <a:schemeClr val="phClr">
                <a:satMod val="12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2015-04-01T00:00:00</PublishDate>
  <Abstract/>
  <CompanyAddress/>
  <CompanyPhone/>
  <CompanyFax/>
  <CompanyEmail/>
</CoverPageProperties>
</file>

<file path=customXml/item2.xml><?xml version="1.0" encoding="utf-8"?>
<outs:outSpaceData xmlns:outs="http://schemas.microsoft.com/office/2009/outspace/metadata">
  <outs:relatedDates/>
  <outs:relatedDocuments/>
  <outs:relatedPeople/>
  <propertyMetadataList xmlns="http://schemas.microsoft.com/office/2009/outspace/metadata"/>
  <outs:corruptMetadataWasLost/>
</outs:outSpaceDat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0D242DE-FD3E-4AF6-B22B-0478C246FE4F}">
  <ds:schemaRefs>
    <ds:schemaRef ds:uri="http://schemas.microsoft.com/office/2009/outspace/metadata"/>
  </ds:schemaRefs>
</ds:datastoreItem>
</file>

<file path=customXml/itemProps3.xml><?xml version="1.0" encoding="utf-8"?>
<ds:datastoreItem xmlns:ds="http://schemas.openxmlformats.org/officeDocument/2006/customXml" ds:itemID="{E0190966-1EB0-424D-A70F-00D46F865B76}">
  <ds:schemaRefs>
    <ds:schemaRef ds:uri="http://schemas.microsoft.com/sharepoint/v3/contenttype/forms"/>
  </ds:schemaRefs>
</ds:datastoreItem>
</file>

<file path=customXml/itemProps4.xml><?xml version="1.0" encoding="utf-8"?>
<ds:datastoreItem xmlns:ds="http://schemas.openxmlformats.org/officeDocument/2006/customXml" ds:itemID="{CC0EB0DB-F587-490E-8079-6F1BEC84A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Informe (tema Intermedio)</Template>
  <TotalTime>1</TotalTime>
  <Pages>120</Pages>
  <Words>35385</Words>
  <Characters>201701</Characters>
  <Application>Microsoft Office Word</Application>
  <DocSecurity>0</DocSecurity>
  <Lines>1680</Lines>
  <Paragraphs>473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estrategia NACIONAL PARA LA implementación del GHS en Chile</vt:lpstr>
      <vt:lpstr>estrategia NACIONAL PARA LA implementación del GHS en Chile</vt:lpstr>
    </vt:vector>
  </TitlesOfParts>
  <Company>Hewlett-Packard</Company>
  <LinksUpToDate>false</LinksUpToDate>
  <CharactersWithSpaces>236613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estrategia NACIONAL PARA LA implementación del GHS en Chile</dc:title>
  <dc:creator>Alejandra Pérez Loyola</dc:creator>
  <cp:lastModifiedBy>Catherine Oh</cp:lastModifiedBy>
  <cp:revision>2</cp:revision>
  <cp:lastPrinted>2016-08-19T19:19:00Z</cp:lastPrinted>
  <dcterms:created xsi:type="dcterms:W3CDTF">2017-01-26T21:36:00Z</dcterms:created>
  <dcterms:modified xsi:type="dcterms:W3CDTF">2017-01-26T21:36:00Z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TC017730709991</vt:lpwstr>
  </property>
</Properties>
</file>